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9147A" w14:textId="20B34B79" w:rsidR="00CA0A57" w:rsidRDefault="00CA0A57" w:rsidP="00CA0A57">
      <w:pPr>
        <w:tabs>
          <w:tab w:val="left" w:pos="5676"/>
        </w:tabs>
        <w:spacing w:after="0"/>
        <w:jc w:val="center"/>
        <w:rPr>
          <w:rFonts w:eastAsia="Calibri" w:cs="Arial"/>
          <w:b/>
          <w:bCs/>
          <w:color w:val="1E2445"/>
          <w:sz w:val="40"/>
          <w:szCs w:val="40"/>
        </w:rPr>
      </w:pPr>
    </w:p>
    <w:p w14:paraId="09970711" w14:textId="196321D9" w:rsidR="00CA0A57" w:rsidRDefault="00B671F1" w:rsidP="00CA0A57">
      <w:pPr>
        <w:tabs>
          <w:tab w:val="left" w:pos="5676"/>
        </w:tabs>
        <w:spacing w:after="0"/>
        <w:jc w:val="center"/>
        <w:rPr>
          <w:rFonts w:eastAsia="Calibri" w:cs="Arial"/>
          <w:b/>
          <w:bCs/>
          <w:color w:val="1E2445"/>
          <w:sz w:val="40"/>
          <w:szCs w:val="40"/>
        </w:rPr>
      </w:pPr>
      <w:r w:rsidRPr="00B671F1">
        <w:rPr>
          <w:rFonts w:ascii="Times New Roman" w:eastAsia="Times New Roman" w:hAnsi="Times New Roman" w:cs="Times New Roman"/>
          <w:noProof/>
          <w:sz w:val="24"/>
          <w:szCs w:val="24"/>
          <w:lang w:eastAsia="de-DE"/>
        </w:rPr>
        <w:drawing>
          <wp:anchor distT="0" distB="0" distL="114300" distR="114300" simplePos="0" relativeHeight="251659266" behindDoc="0" locked="0" layoutInCell="1" allowOverlap="1" wp14:anchorId="5183B59F" wp14:editId="008592C2">
            <wp:simplePos x="0" y="0"/>
            <wp:positionH relativeFrom="margin">
              <wp:align>center</wp:align>
            </wp:positionH>
            <wp:positionV relativeFrom="paragraph">
              <wp:posOffset>214113</wp:posOffset>
            </wp:positionV>
            <wp:extent cx="1711842" cy="1368537"/>
            <wp:effectExtent l="0" t="0" r="3175" b="3175"/>
            <wp:wrapNone/>
            <wp:docPr id="5" name="Bild 5" descr="Ein Bild, das Text, Schrift, Screenshot, Logo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 5" descr="Ein Bild, das Text, Schrift, Screenshot, Logo enthält.&#10;&#10;KI-generierte Inhalte können fehlerhaft sei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11842" cy="136853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C03A28" w14:textId="77C574AA" w:rsidR="00B671F1" w:rsidRPr="00B671F1" w:rsidRDefault="00B671F1" w:rsidP="00B671F1">
      <w:pPr>
        <w:spacing w:before="100" w:beforeAutospacing="1" w:after="100" w:afterAutospacing="1" w:line="240" w:lineRule="auto"/>
        <w:jc w:val="left"/>
        <w:rPr>
          <w:rFonts w:ascii="Times New Roman" w:eastAsia="Times New Roman" w:hAnsi="Times New Roman" w:cs="Times New Roman"/>
          <w:sz w:val="24"/>
          <w:szCs w:val="24"/>
          <w:lang w:eastAsia="de-DE"/>
        </w:rPr>
      </w:pPr>
    </w:p>
    <w:p w14:paraId="4EFE1357" w14:textId="476C79E9" w:rsidR="00CA0A57" w:rsidRDefault="00CA0A57" w:rsidP="00B535D7">
      <w:pPr>
        <w:tabs>
          <w:tab w:val="left" w:pos="5676"/>
        </w:tabs>
        <w:spacing w:after="0"/>
        <w:jc w:val="center"/>
        <w:rPr>
          <w:rFonts w:eastAsia="Calibri" w:cs="Arial"/>
          <w:b/>
          <w:bCs/>
          <w:color w:val="1E2445"/>
          <w:sz w:val="40"/>
          <w:szCs w:val="40"/>
        </w:rPr>
      </w:pPr>
    </w:p>
    <w:p w14:paraId="5109FCD0" w14:textId="35D33EBD" w:rsidR="00B535D7" w:rsidRPr="006F6705" w:rsidRDefault="00B535D7" w:rsidP="00B535D7">
      <w:pPr>
        <w:tabs>
          <w:tab w:val="left" w:pos="5676"/>
        </w:tabs>
        <w:spacing w:after="0"/>
        <w:jc w:val="center"/>
        <w:rPr>
          <w:rFonts w:eastAsia="Calibri" w:cs="Arial"/>
          <w:b/>
          <w:bCs/>
          <w:color w:val="1E2445"/>
          <w:sz w:val="40"/>
          <w:szCs w:val="40"/>
        </w:rPr>
      </w:pPr>
    </w:p>
    <w:p w14:paraId="68F3804F" w14:textId="678E983A" w:rsidR="00CA0A57" w:rsidRDefault="00CA0A57" w:rsidP="00CA0A57">
      <w:pPr>
        <w:tabs>
          <w:tab w:val="left" w:pos="5676"/>
        </w:tabs>
        <w:spacing w:after="0"/>
        <w:jc w:val="center"/>
        <w:rPr>
          <w:rFonts w:eastAsia="Calibri" w:cs="Arial"/>
          <w:b/>
          <w:bCs/>
          <w:color w:val="1E2445"/>
          <w:sz w:val="40"/>
          <w:szCs w:val="40"/>
        </w:rPr>
      </w:pPr>
    </w:p>
    <w:p w14:paraId="457034FF" w14:textId="77777777" w:rsidR="00CA0A57" w:rsidRPr="006F6705" w:rsidRDefault="00CA0A57" w:rsidP="00CA0A57">
      <w:pPr>
        <w:tabs>
          <w:tab w:val="left" w:pos="5676"/>
        </w:tabs>
        <w:spacing w:after="0"/>
        <w:jc w:val="center"/>
        <w:rPr>
          <w:rFonts w:eastAsia="Calibri" w:cs="Arial"/>
          <w:b/>
          <w:bCs/>
          <w:color w:val="1E2445"/>
          <w:sz w:val="40"/>
          <w:szCs w:val="40"/>
        </w:rPr>
      </w:pPr>
    </w:p>
    <w:p w14:paraId="4710FF8F" w14:textId="77777777" w:rsidR="00DF6A83" w:rsidRDefault="00DF6A83" w:rsidP="00CA0A57">
      <w:pPr>
        <w:tabs>
          <w:tab w:val="left" w:pos="5676"/>
        </w:tabs>
        <w:spacing w:after="0"/>
        <w:jc w:val="center"/>
        <w:rPr>
          <w:rFonts w:eastAsia="Calibri" w:cs="Arial"/>
          <w:b/>
          <w:bCs/>
          <w:color w:val="1E2445"/>
          <w:sz w:val="40"/>
          <w:szCs w:val="40"/>
        </w:rPr>
      </w:pPr>
      <w:r>
        <w:rPr>
          <w:rFonts w:eastAsia="Calibri" w:cs="Arial"/>
          <w:b/>
          <w:bCs/>
          <w:color w:val="1E2445"/>
          <w:sz w:val="40"/>
          <w:szCs w:val="40"/>
        </w:rPr>
        <w:t xml:space="preserve">Vorlage Lagebericht </w:t>
      </w:r>
    </w:p>
    <w:p w14:paraId="4AF163E8" w14:textId="7228DBE0" w:rsidR="00CA0A57" w:rsidRDefault="00DF6A83" w:rsidP="00DF6A83">
      <w:pPr>
        <w:tabs>
          <w:tab w:val="left" w:pos="5676"/>
        </w:tabs>
        <w:spacing w:after="0"/>
        <w:jc w:val="center"/>
        <w:rPr>
          <w:rFonts w:eastAsia="Calibri" w:cs="Arial"/>
          <w:b/>
          <w:bCs/>
          <w:color w:val="1E2445"/>
          <w:sz w:val="40"/>
          <w:szCs w:val="40"/>
        </w:rPr>
      </w:pPr>
      <w:r>
        <w:rPr>
          <w:rFonts w:eastAsia="Calibri" w:cs="Arial"/>
          <w:b/>
          <w:bCs/>
          <w:color w:val="1E2445"/>
          <w:sz w:val="40"/>
          <w:szCs w:val="40"/>
        </w:rPr>
        <w:t>2024</w:t>
      </w:r>
    </w:p>
    <w:p w14:paraId="07E2AA27" w14:textId="77777777" w:rsidR="008B6B44" w:rsidRDefault="008B6B44" w:rsidP="00DF6A83">
      <w:pPr>
        <w:tabs>
          <w:tab w:val="left" w:pos="5676"/>
        </w:tabs>
        <w:spacing w:after="0"/>
        <w:jc w:val="center"/>
        <w:rPr>
          <w:rFonts w:eastAsia="Calibri" w:cs="Arial"/>
          <w:b/>
          <w:bCs/>
          <w:color w:val="1E2445"/>
          <w:sz w:val="40"/>
          <w:szCs w:val="40"/>
        </w:rPr>
      </w:pPr>
    </w:p>
    <w:p w14:paraId="31107BC7" w14:textId="77777777" w:rsidR="00FD2F4D" w:rsidRDefault="00FD2F4D" w:rsidP="00DF6A83">
      <w:pPr>
        <w:tabs>
          <w:tab w:val="left" w:pos="5676"/>
        </w:tabs>
        <w:spacing w:after="0"/>
        <w:jc w:val="center"/>
        <w:rPr>
          <w:rFonts w:eastAsia="Calibri" w:cs="Arial"/>
          <w:b/>
          <w:bCs/>
          <w:color w:val="1E2445"/>
          <w:sz w:val="40"/>
          <w:szCs w:val="40"/>
        </w:rPr>
      </w:pPr>
    </w:p>
    <w:p w14:paraId="780AD0F2" w14:textId="46411292" w:rsidR="00CA0A57" w:rsidRPr="008B6B44" w:rsidRDefault="008B6B44" w:rsidP="00CA0A57">
      <w:pPr>
        <w:tabs>
          <w:tab w:val="left" w:pos="5676"/>
        </w:tabs>
        <w:spacing w:after="0"/>
        <w:jc w:val="center"/>
        <w:rPr>
          <w:rFonts w:eastAsia="Calibri" w:cs="Arial"/>
          <w:sz w:val="32"/>
          <w:szCs w:val="32"/>
        </w:rPr>
      </w:pPr>
      <w:r w:rsidRPr="008B6B44">
        <w:rPr>
          <w:rFonts w:eastAsia="Calibri" w:cs="Arial"/>
          <w:sz w:val="32"/>
          <w:szCs w:val="32"/>
        </w:rPr>
        <w:t xml:space="preserve">im Auftrag des </w:t>
      </w:r>
    </w:p>
    <w:p w14:paraId="51FEDB4F" w14:textId="10BD6EA8" w:rsidR="00CA0A57" w:rsidRPr="008B6B44" w:rsidRDefault="008B6B44" w:rsidP="00CA0A57">
      <w:pPr>
        <w:tabs>
          <w:tab w:val="left" w:pos="5676"/>
        </w:tabs>
        <w:spacing w:after="0"/>
        <w:jc w:val="center"/>
        <w:rPr>
          <w:rFonts w:eastAsia="Calibri" w:cs="Arial"/>
          <w:sz w:val="32"/>
          <w:szCs w:val="32"/>
        </w:rPr>
      </w:pPr>
      <w:r w:rsidRPr="008B6B44">
        <w:rPr>
          <w:rFonts w:eastAsia="Calibri" w:cs="Arial"/>
          <w:sz w:val="32"/>
          <w:szCs w:val="32"/>
        </w:rPr>
        <w:t>Industrieverband Massivumformung e.V.</w:t>
      </w:r>
    </w:p>
    <w:p w14:paraId="34C3F7E9" w14:textId="77777777" w:rsidR="00DF6A83" w:rsidRDefault="00DF6A83" w:rsidP="00CA0A57">
      <w:pPr>
        <w:spacing w:after="0"/>
        <w:jc w:val="center"/>
        <w:rPr>
          <w:rFonts w:eastAsia="Calibri" w:cs="Arial"/>
          <w:b/>
          <w:sz w:val="40"/>
          <w:szCs w:val="28"/>
        </w:rPr>
      </w:pPr>
    </w:p>
    <w:p w14:paraId="3961D98B" w14:textId="77777777" w:rsidR="00DF6A83" w:rsidRDefault="00DF6A83" w:rsidP="00DC1B2F">
      <w:pPr>
        <w:tabs>
          <w:tab w:val="center" w:pos="4536"/>
          <w:tab w:val="left" w:pos="7834"/>
        </w:tabs>
        <w:jc w:val="left"/>
        <w:rPr>
          <w:rFonts w:eastAsia="Times New Roman" w:cs="Arial"/>
          <w:bCs/>
          <w:sz w:val="32"/>
          <w:lang w:eastAsia="de-DE"/>
        </w:rPr>
      </w:pPr>
    </w:p>
    <w:p w14:paraId="21DA15CC" w14:textId="67F24AED" w:rsidR="00C618FE" w:rsidRDefault="00DF6A83" w:rsidP="00DC1B2F">
      <w:pPr>
        <w:tabs>
          <w:tab w:val="center" w:pos="4536"/>
          <w:tab w:val="left" w:pos="7834"/>
        </w:tabs>
        <w:jc w:val="left"/>
        <w:rPr>
          <w:rFonts w:eastAsia="Times New Roman" w:cs="Arial"/>
          <w:bCs/>
          <w:sz w:val="52"/>
          <w:szCs w:val="40"/>
          <w:lang w:eastAsia="de-DE"/>
        </w:rPr>
      </w:pPr>
      <w:r>
        <w:rPr>
          <w:noProof/>
          <w:bdr w:val="none" w:sz="0" w:space="0" w:color="auto" w:frame="1"/>
        </w:rPr>
        <w:drawing>
          <wp:anchor distT="0" distB="0" distL="114300" distR="114300" simplePos="0" relativeHeight="251658242" behindDoc="1" locked="0" layoutInCell="1" allowOverlap="1" wp14:anchorId="20B3308F" wp14:editId="0689CA8B">
            <wp:simplePos x="0" y="0"/>
            <wp:positionH relativeFrom="page">
              <wp:posOffset>-30480</wp:posOffset>
            </wp:positionH>
            <wp:positionV relativeFrom="paragraph">
              <wp:posOffset>594833</wp:posOffset>
            </wp:positionV>
            <wp:extent cx="5252199" cy="2794406"/>
            <wp:effectExtent l="0" t="0" r="5715" b="0"/>
            <wp:wrapNone/>
            <wp:docPr id="1320742063" name="Grafik 10" descr="Ein Bild, das Screenshot, Schwarzweiß, Reihe, Schwarz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287625" name="Grafik 10" descr="Ein Bild, das Screenshot, Schwarzweiß, Reihe, Schwarz enthält.&#10;&#10;Automatisch generierte Beschreibung"/>
                    <pic:cNvPicPr>
                      <a:picLocks noChangeAspect="1" noChangeArrowheads="1"/>
                    </pic:cNvPicPr>
                  </pic:nvPicPr>
                  <pic:blipFill>
                    <a:blip r:embed="rId12">
                      <a:alphaModFix amt="52000"/>
                      <a:extLst>
                        <a:ext uri="{BEBA8EAE-BF5A-486C-A8C5-ECC9F3942E4B}">
                          <a14:imgProps xmlns:a14="http://schemas.microsoft.com/office/drawing/2010/main">
                            <a14:imgLayer r:embed="rId13">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252199" cy="279440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C1B2F">
        <w:rPr>
          <w:rFonts w:eastAsia="Times New Roman" w:cs="Arial"/>
          <w:bCs/>
          <w:sz w:val="52"/>
          <w:szCs w:val="40"/>
          <w:lang w:eastAsia="de-DE"/>
        </w:rPr>
        <w:tab/>
      </w:r>
    </w:p>
    <w:p w14:paraId="26232B01" w14:textId="2046102E" w:rsidR="00036040" w:rsidRPr="00DF6A83" w:rsidRDefault="00DC1B2F" w:rsidP="00DF6A83">
      <w:pPr>
        <w:tabs>
          <w:tab w:val="center" w:pos="4536"/>
          <w:tab w:val="left" w:pos="7834"/>
        </w:tabs>
        <w:jc w:val="left"/>
        <w:rPr>
          <w:rFonts w:eastAsia="Times New Roman" w:cs="Arial"/>
          <w:bCs/>
          <w:sz w:val="52"/>
          <w:szCs w:val="40"/>
          <w:lang w:eastAsia="de-DE"/>
        </w:rPr>
      </w:pPr>
      <w:r>
        <w:rPr>
          <w:noProof/>
        </w:rPr>
        <w:drawing>
          <wp:anchor distT="0" distB="0" distL="114300" distR="114300" simplePos="0" relativeHeight="251658241" behindDoc="0" locked="0" layoutInCell="1" allowOverlap="1" wp14:anchorId="4BF922B9" wp14:editId="7D814BB1">
            <wp:simplePos x="0" y="0"/>
            <wp:positionH relativeFrom="margin">
              <wp:posOffset>4987290</wp:posOffset>
            </wp:positionH>
            <wp:positionV relativeFrom="paragraph">
              <wp:posOffset>525653</wp:posOffset>
            </wp:positionV>
            <wp:extent cx="771623" cy="1103587"/>
            <wp:effectExtent l="0" t="0" r="0" b="1905"/>
            <wp:wrapNone/>
            <wp:docPr id="1507971494" name="Grafik 11" descr="Ein Bild, das Text, Schrift, Fahrrad, Post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129122" name="Grafik 11" descr="Ein Bild, das Text, Schrift, Fahrrad, Poster enthält.&#10;&#10;Automatisch generierte Beschreibu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71623" cy="1103587"/>
                    </a:xfrm>
                    <a:prstGeom prst="rect">
                      <a:avLst/>
                    </a:prstGeom>
                    <a:noFill/>
                    <a:ln>
                      <a:noFill/>
                    </a:ln>
                  </pic:spPr>
                </pic:pic>
              </a:graphicData>
            </a:graphic>
            <wp14:sizeRelH relativeFrom="page">
              <wp14:pctWidth>0</wp14:pctWidth>
            </wp14:sizeRelH>
            <wp14:sizeRelV relativeFrom="page">
              <wp14:pctHeight>0</wp14:pctHeight>
            </wp14:sizeRelV>
          </wp:anchor>
        </w:drawing>
      </w:r>
      <w:r w:rsidR="00DF6A83">
        <w:rPr>
          <w:rFonts w:eastAsia="Calibri" w:cs="Arial"/>
          <w:sz w:val="24"/>
          <w:szCs w:val="24"/>
        </w:rPr>
        <w:t xml:space="preserve">Ansprechpartner </w:t>
      </w:r>
    </w:p>
    <w:p w14:paraId="538B4861" w14:textId="1D3C2295" w:rsidR="00DF6A83" w:rsidRPr="00D47601" w:rsidRDefault="00DF6A83" w:rsidP="00036040">
      <w:pPr>
        <w:tabs>
          <w:tab w:val="center" w:pos="4536"/>
          <w:tab w:val="left" w:pos="4962"/>
          <w:tab w:val="right" w:pos="9072"/>
        </w:tabs>
        <w:spacing w:after="0" w:line="240" w:lineRule="auto"/>
        <w:rPr>
          <w:rFonts w:eastAsia="Calibri" w:cs="Arial"/>
          <w:b/>
          <w:bCs/>
          <w:sz w:val="24"/>
          <w:szCs w:val="24"/>
        </w:rPr>
      </w:pPr>
      <w:r w:rsidRPr="00D47601">
        <w:rPr>
          <w:rFonts w:eastAsia="Calibri" w:cs="Arial"/>
          <w:b/>
          <w:bCs/>
          <w:sz w:val="24"/>
          <w:szCs w:val="24"/>
        </w:rPr>
        <w:t>VIA Consult GmbH &amp; Co. KG</w:t>
      </w:r>
      <w:r w:rsidR="00AC3E40">
        <w:rPr>
          <w:rFonts w:eastAsia="Calibri" w:cs="Arial"/>
          <w:b/>
          <w:bCs/>
          <w:sz w:val="24"/>
          <w:szCs w:val="24"/>
        </w:rPr>
        <w:t xml:space="preserve"> </w:t>
      </w:r>
    </w:p>
    <w:p w14:paraId="56BF6070" w14:textId="4630778A" w:rsidR="00DF6A83" w:rsidRPr="00DF6A83" w:rsidRDefault="00DF6A83" w:rsidP="00036040">
      <w:pPr>
        <w:tabs>
          <w:tab w:val="center" w:pos="4536"/>
          <w:tab w:val="left" w:pos="4962"/>
          <w:tab w:val="right" w:pos="9072"/>
        </w:tabs>
        <w:spacing w:after="0" w:line="240" w:lineRule="auto"/>
        <w:rPr>
          <w:rFonts w:eastAsia="Calibri" w:cs="Arial"/>
          <w:sz w:val="24"/>
          <w:szCs w:val="24"/>
        </w:rPr>
      </w:pPr>
      <w:r w:rsidRPr="00DF6A83">
        <w:rPr>
          <w:rFonts w:eastAsia="Calibri" w:cs="Arial"/>
          <w:sz w:val="24"/>
          <w:szCs w:val="24"/>
        </w:rPr>
        <w:t>Lisa Marie Knoche</w:t>
      </w:r>
    </w:p>
    <w:p w14:paraId="2D6CE3B1" w14:textId="2EB36979" w:rsidR="00DF6A83" w:rsidRDefault="008A689B" w:rsidP="00036040">
      <w:pPr>
        <w:tabs>
          <w:tab w:val="center" w:pos="4536"/>
          <w:tab w:val="left" w:pos="4962"/>
          <w:tab w:val="right" w:pos="9072"/>
        </w:tabs>
        <w:spacing w:after="0" w:line="240" w:lineRule="auto"/>
        <w:rPr>
          <w:rFonts w:eastAsia="Calibri" w:cs="Arial"/>
          <w:sz w:val="24"/>
          <w:szCs w:val="24"/>
        </w:rPr>
      </w:pPr>
      <w:r>
        <w:rPr>
          <w:rFonts w:eastAsia="Calibri" w:cs="Arial"/>
          <w:sz w:val="24"/>
          <w:szCs w:val="24"/>
        </w:rPr>
        <w:t>Joshua Wagener</w:t>
      </w:r>
    </w:p>
    <w:p w14:paraId="00529680" w14:textId="1B35545E" w:rsidR="00DF6A83" w:rsidRDefault="00DF6A83" w:rsidP="00036040">
      <w:pPr>
        <w:tabs>
          <w:tab w:val="center" w:pos="4536"/>
          <w:tab w:val="left" w:pos="4962"/>
          <w:tab w:val="right" w:pos="9072"/>
        </w:tabs>
        <w:spacing w:after="0" w:line="240" w:lineRule="auto"/>
        <w:rPr>
          <w:rFonts w:eastAsia="Calibri" w:cs="Arial"/>
          <w:sz w:val="24"/>
          <w:szCs w:val="24"/>
        </w:rPr>
      </w:pPr>
    </w:p>
    <w:p w14:paraId="51B20ECD" w14:textId="658B941C" w:rsidR="00DF6A83" w:rsidRDefault="00DF6A83" w:rsidP="00036040">
      <w:pPr>
        <w:tabs>
          <w:tab w:val="center" w:pos="4536"/>
          <w:tab w:val="left" w:pos="4962"/>
          <w:tab w:val="right" w:pos="9072"/>
        </w:tabs>
        <w:spacing w:after="0" w:line="240" w:lineRule="auto"/>
        <w:rPr>
          <w:rFonts w:eastAsia="Calibri" w:cs="Arial"/>
          <w:sz w:val="24"/>
          <w:szCs w:val="24"/>
        </w:rPr>
      </w:pPr>
      <w:r>
        <w:rPr>
          <w:rFonts w:eastAsia="Calibri" w:cs="Arial"/>
          <w:sz w:val="24"/>
          <w:szCs w:val="24"/>
        </w:rPr>
        <w:t>Kurfürst-Heinrich Str. 10</w:t>
      </w:r>
    </w:p>
    <w:p w14:paraId="3609BB7A" w14:textId="7ED40968" w:rsidR="00DF6A83" w:rsidRDefault="00DF6A83" w:rsidP="00036040">
      <w:pPr>
        <w:tabs>
          <w:tab w:val="center" w:pos="4536"/>
          <w:tab w:val="left" w:pos="4962"/>
          <w:tab w:val="right" w:pos="9072"/>
        </w:tabs>
        <w:spacing w:after="0" w:line="240" w:lineRule="auto"/>
        <w:rPr>
          <w:rFonts w:eastAsia="Calibri" w:cs="Arial"/>
          <w:sz w:val="24"/>
          <w:szCs w:val="24"/>
        </w:rPr>
      </w:pPr>
      <w:r>
        <w:rPr>
          <w:rFonts w:eastAsia="Calibri" w:cs="Arial"/>
          <w:sz w:val="24"/>
          <w:szCs w:val="24"/>
        </w:rPr>
        <w:t>57462 Olpe</w:t>
      </w:r>
    </w:p>
    <w:p w14:paraId="3DB468F6" w14:textId="77777777" w:rsidR="00DF6A83" w:rsidRDefault="00DF6A83" w:rsidP="00036040">
      <w:pPr>
        <w:tabs>
          <w:tab w:val="center" w:pos="4536"/>
          <w:tab w:val="left" w:pos="4962"/>
          <w:tab w:val="right" w:pos="9072"/>
        </w:tabs>
        <w:spacing w:after="0" w:line="240" w:lineRule="auto"/>
        <w:rPr>
          <w:rFonts w:eastAsia="Calibri" w:cs="Arial"/>
          <w:sz w:val="24"/>
          <w:szCs w:val="24"/>
        </w:rPr>
      </w:pPr>
    </w:p>
    <w:p w14:paraId="302B78DE" w14:textId="7D258BBE" w:rsidR="00036040" w:rsidRPr="00DF6A83" w:rsidRDefault="00DF6A83" w:rsidP="00DF6A83">
      <w:pPr>
        <w:tabs>
          <w:tab w:val="center" w:pos="4536"/>
          <w:tab w:val="left" w:pos="4962"/>
          <w:tab w:val="right" w:pos="9072"/>
        </w:tabs>
        <w:spacing w:after="0" w:line="240" w:lineRule="auto"/>
        <w:rPr>
          <w:rFonts w:eastAsiaTheme="majorEastAsia" w:cstheme="majorBidi"/>
          <w:b/>
          <w:sz w:val="28"/>
        </w:rPr>
        <w:sectPr w:rsidR="00036040" w:rsidRPr="00DF6A83" w:rsidSect="00DC1B2F">
          <w:headerReference w:type="default" r:id="rId15"/>
          <w:footerReference w:type="default" r:id="rId16"/>
          <w:headerReference w:type="first" r:id="rId17"/>
          <w:pgSz w:w="11906" w:h="16838"/>
          <w:pgMar w:top="1417" w:right="1417" w:bottom="1134" w:left="1417" w:header="708" w:footer="708" w:gutter="0"/>
          <w:cols w:space="708"/>
          <w:titlePg/>
          <w:docGrid w:linePitch="360"/>
        </w:sectPr>
      </w:pPr>
      <w:r>
        <w:rPr>
          <w:rFonts w:eastAsia="Calibri" w:cs="Arial"/>
          <w:sz w:val="24"/>
          <w:szCs w:val="24"/>
        </w:rPr>
        <w:t>Tel.: 02761 83668-33</w:t>
      </w:r>
    </w:p>
    <w:p w14:paraId="0E75DC7F" w14:textId="77777777" w:rsidR="00814D58" w:rsidRDefault="00814D58" w:rsidP="00F93088">
      <w:pPr>
        <w:rPr>
          <w:rFonts w:eastAsiaTheme="majorEastAsia" w:cstheme="majorBidi"/>
          <w:b/>
          <w:color w:val="1E2445"/>
          <w:sz w:val="28"/>
          <w:szCs w:val="32"/>
        </w:rPr>
      </w:pPr>
      <w:r w:rsidRPr="00814D58">
        <w:rPr>
          <w:rFonts w:eastAsiaTheme="majorEastAsia" w:cstheme="majorBidi"/>
          <w:b/>
          <w:color w:val="1E2445"/>
          <w:sz w:val="28"/>
          <w:szCs w:val="32"/>
        </w:rPr>
        <w:lastRenderedPageBreak/>
        <w:t>VORLAGE LAGEBERICHT FÜR DAS GESCHÄFTSJAHR 2024</w:t>
      </w:r>
    </w:p>
    <w:p w14:paraId="47A49033" w14:textId="77777777" w:rsidR="00814D58" w:rsidRPr="00981FBF" w:rsidRDefault="00814D58" w:rsidP="00814D58">
      <w:pPr>
        <w:spacing w:after="0"/>
        <w:rPr>
          <w:rFonts w:cs="Arial"/>
          <w:bCs/>
          <w:i/>
          <w:sz w:val="24"/>
          <w:szCs w:val="24"/>
        </w:rPr>
      </w:pPr>
      <w:r w:rsidRPr="00981FBF">
        <w:rPr>
          <w:rFonts w:cs="Arial"/>
          <w:bCs/>
          <w:i/>
          <w:sz w:val="24"/>
          <w:szCs w:val="24"/>
          <w:highlight w:val="green"/>
        </w:rPr>
        <w:t>Bitte die grün markierten Stellen anpassen!</w:t>
      </w:r>
    </w:p>
    <w:p w14:paraId="0ED6CC32" w14:textId="5CAF2ED5" w:rsidR="00814D58" w:rsidRPr="00981FBF" w:rsidRDefault="00814D58" w:rsidP="00814D58">
      <w:pPr>
        <w:spacing w:after="0"/>
        <w:rPr>
          <w:rFonts w:cs="Arial"/>
          <w:b/>
          <w:bCs/>
          <w:sz w:val="28"/>
          <w:szCs w:val="24"/>
        </w:rPr>
      </w:pPr>
    </w:p>
    <w:p w14:paraId="375BA44D" w14:textId="486C8B63" w:rsidR="002C53DF" w:rsidRPr="00814D58" w:rsidRDefault="00814D58" w:rsidP="00814D58">
      <w:pPr>
        <w:spacing w:after="0"/>
        <w:rPr>
          <w:rFonts w:cs="Arial"/>
          <w:b/>
          <w:bCs/>
          <w:color w:val="1E2445"/>
          <w:sz w:val="24"/>
          <w:szCs w:val="24"/>
        </w:rPr>
      </w:pPr>
      <w:r w:rsidRPr="00814D58">
        <w:rPr>
          <w:rFonts w:cs="Arial"/>
          <w:b/>
          <w:bCs/>
          <w:color w:val="1E2445"/>
          <w:sz w:val="24"/>
          <w:szCs w:val="24"/>
        </w:rPr>
        <w:t xml:space="preserve">I. Grundlagen des Unternehmens </w:t>
      </w:r>
    </w:p>
    <w:p w14:paraId="238A0C87" w14:textId="77777777" w:rsidR="00814D58" w:rsidRPr="00814D58" w:rsidRDefault="00814D58" w:rsidP="00814D58">
      <w:pPr>
        <w:spacing w:after="0"/>
        <w:rPr>
          <w:rFonts w:cs="Arial"/>
          <w:b/>
          <w:bCs/>
          <w:color w:val="1E2445"/>
        </w:rPr>
      </w:pPr>
      <w:r w:rsidRPr="00814D58">
        <w:rPr>
          <w:rFonts w:cs="Arial"/>
          <w:b/>
          <w:bCs/>
          <w:color w:val="1E2445"/>
        </w:rPr>
        <w:t>Geschäftsmodell des Unternehmens</w:t>
      </w:r>
    </w:p>
    <w:p w14:paraId="58B53E7C" w14:textId="6EDEA186" w:rsidR="00DA5835" w:rsidRPr="00665C81" w:rsidRDefault="00665C81" w:rsidP="00DA5835">
      <w:pPr>
        <w:pStyle w:val="Listenabsatz"/>
        <w:numPr>
          <w:ilvl w:val="0"/>
          <w:numId w:val="8"/>
        </w:numPr>
        <w:spacing w:after="0"/>
        <w:rPr>
          <w:rFonts w:cs="Arial"/>
          <w:highlight w:val="green"/>
        </w:rPr>
      </w:pPr>
      <w:r>
        <w:rPr>
          <w:rFonts w:cs="Arial"/>
          <w:highlight w:val="green"/>
        </w:rPr>
        <w:t>W</w:t>
      </w:r>
      <w:r w:rsidR="00DA5835" w:rsidRPr="00665C81">
        <w:rPr>
          <w:rFonts w:cs="Arial"/>
          <w:highlight w:val="green"/>
        </w:rPr>
        <w:t>esentlichen Veränderungen im Vergleich zum Vorjahr</w:t>
      </w:r>
    </w:p>
    <w:p w14:paraId="5B4B88BC" w14:textId="02E1D09B" w:rsidR="00DA5835" w:rsidRPr="00665C81" w:rsidRDefault="00DA5835" w:rsidP="00DA5835">
      <w:pPr>
        <w:pStyle w:val="Listenabsatz"/>
        <w:numPr>
          <w:ilvl w:val="0"/>
          <w:numId w:val="8"/>
        </w:numPr>
        <w:spacing w:after="0"/>
        <w:rPr>
          <w:rFonts w:cs="Arial"/>
          <w:highlight w:val="green"/>
        </w:rPr>
      </w:pPr>
      <w:r w:rsidRPr="00665C81">
        <w:rPr>
          <w:rFonts w:cs="Arial"/>
          <w:highlight w:val="green"/>
        </w:rPr>
        <w:t>Geschäftszweck</w:t>
      </w:r>
      <w:r w:rsidR="00665C81">
        <w:rPr>
          <w:rFonts w:cs="Arial"/>
          <w:highlight w:val="green"/>
        </w:rPr>
        <w:t xml:space="preserve"> des Unternehmens</w:t>
      </w:r>
      <w:r w:rsidR="00B40C8D">
        <w:rPr>
          <w:rFonts w:cs="Arial"/>
          <w:highlight w:val="green"/>
        </w:rPr>
        <w:t>, Ziel und Strategie</w:t>
      </w:r>
    </w:p>
    <w:p w14:paraId="7BC96C56" w14:textId="58825059" w:rsidR="00DA5835" w:rsidRPr="00665C81" w:rsidRDefault="00665C81" w:rsidP="00DA5835">
      <w:pPr>
        <w:pStyle w:val="Listenabsatz"/>
        <w:numPr>
          <w:ilvl w:val="0"/>
          <w:numId w:val="8"/>
        </w:numPr>
        <w:spacing w:after="0"/>
        <w:rPr>
          <w:rFonts w:cs="Arial"/>
          <w:highlight w:val="green"/>
        </w:rPr>
      </w:pPr>
      <w:r w:rsidRPr="00665C81">
        <w:rPr>
          <w:rFonts w:cs="Arial"/>
          <w:highlight w:val="green"/>
        </w:rPr>
        <w:t>O</w:t>
      </w:r>
      <w:r w:rsidR="00DA5835" w:rsidRPr="00665C81">
        <w:rPr>
          <w:rFonts w:cs="Arial"/>
          <w:highlight w:val="green"/>
        </w:rPr>
        <w:t xml:space="preserve">rganisatorische Struktur des </w:t>
      </w:r>
      <w:r>
        <w:rPr>
          <w:rFonts w:cs="Arial"/>
          <w:highlight w:val="green"/>
        </w:rPr>
        <w:t>Unternehmens in Geschäftsbereichen und Standorten</w:t>
      </w:r>
    </w:p>
    <w:p w14:paraId="794E097D" w14:textId="397F5083" w:rsidR="00DA5835" w:rsidRPr="00665C81" w:rsidRDefault="00665C81" w:rsidP="00DA5835">
      <w:pPr>
        <w:pStyle w:val="Listenabsatz"/>
        <w:numPr>
          <w:ilvl w:val="0"/>
          <w:numId w:val="8"/>
        </w:numPr>
        <w:spacing w:after="0"/>
        <w:rPr>
          <w:rFonts w:cs="Arial"/>
          <w:highlight w:val="green"/>
        </w:rPr>
      </w:pPr>
      <w:r w:rsidRPr="00665C81">
        <w:rPr>
          <w:rFonts w:cs="Arial"/>
          <w:highlight w:val="green"/>
        </w:rPr>
        <w:t>N</w:t>
      </w:r>
      <w:r w:rsidR="00DA5835" w:rsidRPr="00665C81">
        <w:rPr>
          <w:rFonts w:cs="Arial"/>
          <w:highlight w:val="green"/>
        </w:rPr>
        <w:t>otwendige Einsatzfaktoren für die Durchführung der Geschäftstätigkeit</w:t>
      </w:r>
    </w:p>
    <w:p w14:paraId="41CEF021" w14:textId="63D9BD88" w:rsidR="00DA5835" w:rsidRPr="00665C81" w:rsidRDefault="00665C81" w:rsidP="00DA5835">
      <w:pPr>
        <w:pStyle w:val="Listenabsatz"/>
        <w:numPr>
          <w:ilvl w:val="0"/>
          <w:numId w:val="8"/>
        </w:numPr>
        <w:spacing w:after="0"/>
        <w:rPr>
          <w:rFonts w:cs="Arial"/>
          <w:highlight w:val="green"/>
        </w:rPr>
      </w:pPr>
      <w:r>
        <w:rPr>
          <w:rFonts w:cs="Arial"/>
          <w:highlight w:val="green"/>
        </w:rPr>
        <w:t xml:space="preserve">Zentrale </w:t>
      </w:r>
      <w:r w:rsidR="00DA5835" w:rsidRPr="00665C81">
        <w:rPr>
          <w:rFonts w:cs="Arial"/>
          <w:highlight w:val="green"/>
        </w:rPr>
        <w:t>Geschäftsprozesse</w:t>
      </w:r>
    </w:p>
    <w:p w14:paraId="3ADEF53C" w14:textId="39CA4047" w:rsidR="00DA5835" w:rsidRPr="00665C81" w:rsidRDefault="00DA5835" w:rsidP="00DA5835">
      <w:pPr>
        <w:pStyle w:val="Listenabsatz"/>
        <w:numPr>
          <w:ilvl w:val="0"/>
          <w:numId w:val="8"/>
        </w:numPr>
        <w:spacing w:after="0"/>
        <w:rPr>
          <w:rFonts w:cs="Arial"/>
          <w:highlight w:val="green"/>
        </w:rPr>
      </w:pPr>
      <w:r w:rsidRPr="00665C81">
        <w:rPr>
          <w:rFonts w:cs="Arial"/>
          <w:highlight w:val="green"/>
        </w:rPr>
        <w:t>Produkt</w:t>
      </w:r>
      <w:r w:rsidR="00665C81">
        <w:rPr>
          <w:rFonts w:cs="Arial"/>
          <w:highlight w:val="green"/>
        </w:rPr>
        <w:t>-</w:t>
      </w:r>
      <w:r w:rsidRPr="00665C81">
        <w:rPr>
          <w:rFonts w:cs="Arial"/>
          <w:highlight w:val="green"/>
        </w:rPr>
        <w:t xml:space="preserve"> und Dienstleistung</w:t>
      </w:r>
      <w:r w:rsidR="00665C81">
        <w:rPr>
          <w:rFonts w:cs="Arial"/>
          <w:highlight w:val="green"/>
        </w:rPr>
        <w:t>sportfolio</w:t>
      </w:r>
    </w:p>
    <w:p w14:paraId="1672D112" w14:textId="4DF904C3" w:rsidR="00DA5835" w:rsidRPr="00665C81" w:rsidRDefault="00665C81" w:rsidP="00DA5835">
      <w:pPr>
        <w:pStyle w:val="Listenabsatz"/>
        <w:numPr>
          <w:ilvl w:val="0"/>
          <w:numId w:val="8"/>
        </w:numPr>
        <w:spacing w:after="0"/>
        <w:rPr>
          <w:rFonts w:cs="Arial"/>
          <w:highlight w:val="green"/>
        </w:rPr>
      </w:pPr>
      <w:r>
        <w:rPr>
          <w:rFonts w:cs="Arial"/>
          <w:highlight w:val="green"/>
        </w:rPr>
        <w:t xml:space="preserve">Zentrale </w:t>
      </w:r>
      <w:r w:rsidR="00DA5835" w:rsidRPr="00665C81">
        <w:rPr>
          <w:rFonts w:cs="Arial"/>
          <w:highlight w:val="green"/>
        </w:rPr>
        <w:t>Beschaffung</w:t>
      </w:r>
      <w:r>
        <w:rPr>
          <w:rFonts w:cs="Arial"/>
          <w:highlight w:val="green"/>
        </w:rPr>
        <w:t>-</w:t>
      </w:r>
      <w:r w:rsidR="00DA5835" w:rsidRPr="00665C81">
        <w:rPr>
          <w:rFonts w:cs="Arial"/>
          <w:highlight w:val="green"/>
        </w:rPr>
        <w:t xml:space="preserve"> und Absatzmärkte</w:t>
      </w:r>
    </w:p>
    <w:p w14:paraId="04547A28" w14:textId="77777777" w:rsidR="00B40C8D" w:rsidRPr="00B40C8D" w:rsidRDefault="00665C81" w:rsidP="00B40C8D">
      <w:pPr>
        <w:pStyle w:val="Listenabsatz"/>
        <w:numPr>
          <w:ilvl w:val="0"/>
          <w:numId w:val="8"/>
        </w:numPr>
        <w:spacing w:after="0"/>
        <w:rPr>
          <w:rFonts w:cs="Arial"/>
          <w:highlight w:val="green"/>
        </w:rPr>
      </w:pPr>
      <w:r>
        <w:rPr>
          <w:rFonts w:cs="Arial"/>
          <w:highlight w:val="green"/>
        </w:rPr>
        <w:t>E</w:t>
      </w:r>
      <w:r w:rsidR="00DA5835" w:rsidRPr="00665C81">
        <w:rPr>
          <w:rFonts w:cs="Arial"/>
          <w:highlight w:val="green"/>
        </w:rPr>
        <w:t xml:space="preserve">xterne Einflussfaktoren </w:t>
      </w:r>
      <w:r>
        <w:rPr>
          <w:rFonts w:cs="Arial"/>
          <w:highlight w:val="green"/>
        </w:rPr>
        <w:t>und</w:t>
      </w:r>
      <w:r w:rsidR="00F776DA">
        <w:rPr>
          <w:rFonts w:cs="Arial"/>
          <w:highlight w:val="green"/>
        </w:rPr>
        <w:t xml:space="preserve"> </w:t>
      </w:r>
      <w:r w:rsidR="00F776DA" w:rsidRPr="00665C81">
        <w:rPr>
          <w:rFonts w:cs="Arial"/>
          <w:highlight w:val="green"/>
        </w:rPr>
        <w:t>Rahmenbedingungen</w:t>
      </w:r>
      <w:r>
        <w:rPr>
          <w:rFonts w:cs="Arial"/>
          <w:highlight w:val="green"/>
        </w:rPr>
        <w:t xml:space="preserve"> </w:t>
      </w:r>
      <w:r w:rsidR="00DA5835" w:rsidRPr="00665C81">
        <w:rPr>
          <w:rFonts w:cs="Arial"/>
          <w:highlight w:val="green"/>
        </w:rPr>
        <w:t>für das Geschäft</w:t>
      </w:r>
    </w:p>
    <w:p w14:paraId="75A12E45" w14:textId="24E35257" w:rsidR="00814D58" w:rsidRPr="00B40C8D" w:rsidRDefault="00B40C8D" w:rsidP="00B40C8D">
      <w:pPr>
        <w:pStyle w:val="Listenabsatz"/>
        <w:numPr>
          <w:ilvl w:val="0"/>
          <w:numId w:val="8"/>
        </w:numPr>
        <w:spacing w:after="0"/>
        <w:rPr>
          <w:rFonts w:cs="Arial"/>
          <w:highlight w:val="green"/>
        </w:rPr>
      </w:pPr>
      <w:r>
        <w:rPr>
          <w:rFonts w:cs="Arial"/>
          <w:highlight w:val="green"/>
        </w:rPr>
        <w:t xml:space="preserve">Aktivitäten und Ausrichtung im Bereich </w:t>
      </w:r>
      <w:r w:rsidR="00814D58" w:rsidRPr="00B40C8D">
        <w:rPr>
          <w:rFonts w:cs="Arial"/>
          <w:highlight w:val="green"/>
        </w:rPr>
        <w:t>Forschung und Entwicklung</w:t>
      </w:r>
    </w:p>
    <w:p w14:paraId="6ED2AED5" w14:textId="77777777" w:rsidR="00814D58" w:rsidRPr="00F93088" w:rsidRDefault="00814D58" w:rsidP="00F93088"/>
    <w:p w14:paraId="357FA235" w14:textId="77777777" w:rsidR="00CE5294" w:rsidRPr="00CE5294" w:rsidRDefault="00CE5294" w:rsidP="00CE5294">
      <w:pPr>
        <w:spacing w:after="0"/>
        <w:rPr>
          <w:rFonts w:cs="Arial"/>
          <w:b/>
          <w:bCs/>
          <w:color w:val="1E2445"/>
          <w:sz w:val="24"/>
          <w:szCs w:val="24"/>
        </w:rPr>
      </w:pPr>
      <w:r w:rsidRPr="00CE5294">
        <w:rPr>
          <w:rFonts w:cs="Arial"/>
          <w:b/>
          <w:bCs/>
          <w:color w:val="1E2445"/>
          <w:sz w:val="24"/>
          <w:szCs w:val="24"/>
        </w:rPr>
        <w:t xml:space="preserve">II. Wirtschaftsbericht </w:t>
      </w:r>
    </w:p>
    <w:p w14:paraId="49930CEB" w14:textId="77777777" w:rsidR="00CE5294" w:rsidRPr="00CE5294" w:rsidRDefault="00CE5294" w:rsidP="00CE5294">
      <w:pPr>
        <w:pStyle w:val="m8865788025647841653msolistparagraph"/>
        <w:numPr>
          <w:ilvl w:val="0"/>
          <w:numId w:val="7"/>
        </w:numPr>
        <w:shd w:val="clear" w:color="auto" w:fill="FFFFFF"/>
        <w:spacing w:before="0" w:beforeAutospacing="0" w:after="0" w:afterAutospacing="0" w:line="360" w:lineRule="auto"/>
        <w:jc w:val="both"/>
        <w:rPr>
          <w:rFonts w:ascii="Arial" w:hAnsi="Arial" w:cs="Arial"/>
          <w:b/>
          <w:color w:val="1E2445"/>
        </w:rPr>
      </w:pPr>
      <w:r w:rsidRPr="00CE5294">
        <w:rPr>
          <w:rFonts w:ascii="Arial" w:hAnsi="Arial" w:cs="Arial"/>
          <w:b/>
          <w:color w:val="1E2445"/>
        </w:rPr>
        <w:t xml:space="preserve">Branchen- und Marktentwicklung </w:t>
      </w:r>
    </w:p>
    <w:p w14:paraId="29637082" w14:textId="77777777" w:rsidR="00CE5294" w:rsidRPr="00CF056D" w:rsidRDefault="00CE5294" w:rsidP="00CE5294">
      <w:pPr>
        <w:pStyle w:val="m8865788025647841653msolistparagraph"/>
        <w:shd w:val="clear" w:color="auto" w:fill="FFFFFF"/>
        <w:spacing w:before="0" w:beforeAutospacing="0" w:after="0" w:afterAutospacing="0" w:line="360" w:lineRule="auto"/>
        <w:jc w:val="both"/>
        <w:rPr>
          <w:rFonts w:ascii="Arial" w:eastAsiaTheme="minorHAnsi" w:hAnsi="Arial" w:cs="Arial"/>
          <w:sz w:val="22"/>
          <w:szCs w:val="22"/>
          <w:lang w:eastAsia="en-US"/>
        </w:rPr>
      </w:pPr>
      <w:r w:rsidRPr="00CF056D">
        <w:rPr>
          <w:rFonts w:ascii="Arial" w:hAnsi="Arial" w:cs="Arial"/>
          <w:sz w:val="22"/>
          <w:szCs w:val="22"/>
        </w:rPr>
        <w:t xml:space="preserve">Für die Standortbestimmung </w:t>
      </w:r>
      <w:r w:rsidRPr="00CF056D">
        <w:rPr>
          <w:rFonts w:ascii="Arial" w:hAnsi="Arial" w:cs="Arial"/>
          <w:color w:val="000000" w:themeColor="text1"/>
          <w:sz w:val="22"/>
          <w:szCs w:val="22"/>
          <w:highlight w:val="green"/>
        </w:rPr>
        <w:t>[Name des Unternehmens]</w:t>
      </w:r>
      <w:r w:rsidRPr="00CF056D">
        <w:rPr>
          <w:rFonts w:ascii="Arial" w:hAnsi="Arial" w:cs="Arial"/>
          <w:color w:val="000000" w:themeColor="text1"/>
          <w:sz w:val="22"/>
          <w:szCs w:val="22"/>
        </w:rPr>
        <w:t xml:space="preserve"> </w:t>
      </w:r>
      <w:r w:rsidRPr="00CF056D">
        <w:rPr>
          <w:rFonts w:ascii="Arial" w:eastAsiaTheme="minorHAnsi" w:hAnsi="Arial" w:cs="Arial"/>
          <w:sz w:val="22"/>
          <w:szCs w:val="22"/>
          <w:lang w:eastAsia="en-US"/>
        </w:rPr>
        <w:t xml:space="preserve">im Marktumfeld wurden </w:t>
      </w:r>
      <w:r>
        <w:rPr>
          <w:rFonts w:ascii="Arial" w:eastAsiaTheme="minorHAnsi" w:hAnsi="Arial" w:cs="Arial"/>
          <w:sz w:val="22"/>
          <w:szCs w:val="22"/>
          <w:lang w:eastAsia="en-US"/>
        </w:rPr>
        <w:t xml:space="preserve">neben den im Quellenverzeichnis dargelegten Informationen auch </w:t>
      </w:r>
      <w:r w:rsidRPr="00CF056D">
        <w:rPr>
          <w:rFonts w:ascii="Arial" w:eastAsiaTheme="minorHAnsi" w:hAnsi="Arial" w:cs="Arial"/>
          <w:sz w:val="22"/>
          <w:szCs w:val="22"/>
          <w:lang w:eastAsia="en-US"/>
        </w:rPr>
        <w:t xml:space="preserve">Auswertungen herangezogen, die </w:t>
      </w:r>
      <w:r>
        <w:rPr>
          <w:rFonts w:ascii="Arial" w:eastAsiaTheme="minorHAnsi" w:hAnsi="Arial" w:cs="Arial"/>
          <w:sz w:val="22"/>
          <w:szCs w:val="22"/>
          <w:lang w:eastAsia="en-US"/>
        </w:rPr>
        <w:t>für</w:t>
      </w:r>
      <w:r w:rsidRPr="00CF056D">
        <w:rPr>
          <w:rFonts w:ascii="Arial" w:eastAsiaTheme="minorHAnsi" w:hAnsi="Arial" w:cs="Arial"/>
          <w:sz w:val="22"/>
          <w:szCs w:val="22"/>
          <w:lang w:eastAsia="en-US"/>
        </w:rPr>
        <w:t xml:space="preserve"> </w:t>
      </w:r>
      <w:r w:rsidRPr="00CF056D">
        <w:rPr>
          <w:rFonts w:ascii="Arial" w:hAnsi="Arial" w:cs="Arial"/>
          <w:color w:val="000000" w:themeColor="text1"/>
          <w:sz w:val="22"/>
          <w:szCs w:val="22"/>
          <w:highlight w:val="green"/>
        </w:rPr>
        <w:t>[Name des Unternehmens]</w:t>
      </w:r>
      <w:r w:rsidRPr="00CF056D">
        <w:rPr>
          <w:rFonts w:ascii="Arial" w:hAnsi="Arial" w:cs="Arial"/>
          <w:color w:val="000000" w:themeColor="text1"/>
          <w:sz w:val="22"/>
          <w:szCs w:val="22"/>
        </w:rPr>
        <w:t xml:space="preserve"> </w:t>
      </w:r>
      <w:r w:rsidRPr="00CF056D">
        <w:rPr>
          <w:rFonts w:ascii="Arial" w:eastAsiaTheme="minorHAnsi" w:hAnsi="Arial" w:cs="Arial"/>
          <w:sz w:val="22"/>
          <w:szCs w:val="22"/>
          <w:lang w:eastAsia="en-US"/>
        </w:rPr>
        <w:t>direkte Vergleichsmöglichkeiten bieten:</w:t>
      </w:r>
    </w:p>
    <w:p w14:paraId="66DFFC99" w14:textId="77777777" w:rsidR="00CE5294" w:rsidRPr="003B0F1A" w:rsidRDefault="00CE5294" w:rsidP="00CE5294">
      <w:pPr>
        <w:pStyle w:val="Listenabsatz"/>
        <w:numPr>
          <w:ilvl w:val="0"/>
          <w:numId w:val="8"/>
        </w:numPr>
        <w:spacing w:after="0"/>
        <w:rPr>
          <w:rFonts w:cs="Arial"/>
        </w:rPr>
      </w:pPr>
      <w:r w:rsidRPr="003B0F1A">
        <w:rPr>
          <w:rFonts w:cs="Arial"/>
        </w:rPr>
        <w:t>Verband der Automobilindustrie (VDA)</w:t>
      </w:r>
    </w:p>
    <w:p w14:paraId="39EA5D76" w14:textId="77777777" w:rsidR="00CE5294" w:rsidRPr="003B0F1A" w:rsidRDefault="00CE5294" w:rsidP="00CE5294">
      <w:pPr>
        <w:pStyle w:val="Listenabsatz"/>
        <w:numPr>
          <w:ilvl w:val="0"/>
          <w:numId w:val="8"/>
        </w:numPr>
        <w:spacing w:after="0"/>
        <w:rPr>
          <w:rFonts w:cs="Arial"/>
        </w:rPr>
      </w:pPr>
      <w:r w:rsidRPr="003B0F1A">
        <w:rPr>
          <w:rFonts w:cs="Arial"/>
        </w:rPr>
        <w:t>Verband Deutscher Maschinen- und Anlagenbau e.V. (VDMA)</w:t>
      </w:r>
    </w:p>
    <w:p w14:paraId="6F105693" w14:textId="77777777" w:rsidR="00CE5294" w:rsidRPr="003B0F1A" w:rsidRDefault="00CE5294" w:rsidP="00CE5294">
      <w:pPr>
        <w:pStyle w:val="Listenabsatz"/>
        <w:numPr>
          <w:ilvl w:val="0"/>
          <w:numId w:val="8"/>
        </w:numPr>
        <w:spacing w:after="0"/>
        <w:rPr>
          <w:rFonts w:cs="Arial"/>
        </w:rPr>
      </w:pPr>
      <w:r w:rsidRPr="003B0F1A">
        <w:rPr>
          <w:rFonts w:cs="Arial"/>
        </w:rPr>
        <w:t>Statistisches Bundesamt (Destatis)</w:t>
      </w:r>
    </w:p>
    <w:p w14:paraId="60D63605" w14:textId="77777777" w:rsidR="00CE5294" w:rsidRPr="003B0F1A" w:rsidRDefault="00CE5294" w:rsidP="00CE5294">
      <w:pPr>
        <w:pStyle w:val="Listenabsatz"/>
        <w:numPr>
          <w:ilvl w:val="0"/>
          <w:numId w:val="8"/>
        </w:numPr>
        <w:spacing w:after="0"/>
        <w:rPr>
          <w:rFonts w:cs="Arial"/>
        </w:rPr>
      </w:pPr>
      <w:r w:rsidRPr="003B0F1A">
        <w:rPr>
          <w:rFonts w:cs="Arial"/>
        </w:rPr>
        <w:t>ifo Institut für Wirtschaftsforschung</w:t>
      </w:r>
    </w:p>
    <w:p w14:paraId="2542A3FE" w14:textId="77777777" w:rsidR="00CE5294" w:rsidRPr="00CE5294" w:rsidRDefault="00CE5294" w:rsidP="00CE5294">
      <w:pPr>
        <w:spacing w:before="360" w:after="0"/>
        <w:rPr>
          <w:rFonts w:cs="Arial"/>
          <w:b/>
          <w:bCs/>
          <w:color w:val="1E2445"/>
        </w:rPr>
      </w:pPr>
      <w:r w:rsidRPr="00CE5294">
        <w:rPr>
          <w:rFonts w:cs="Arial"/>
          <w:b/>
          <w:bCs/>
          <w:color w:val="1E2445"/>
        </w:rPr>
        <w:t>Globale Wirtschaftsentwicklung 2024</w:t>
      </w:r>
    </w:p>
    <w:p w14:paraId="089A13B4" w14:textId="2442B463" w:rsidR="00CE5294" w:rsidRDefault="00CE5294" w:rsidP="00CE5294">
      <w:pPr>
        <w:rPr>
          <w:rFonts w:cs="Arial"/>
        </w:rPr>
      </w:pPr>
      <w:r w:rsidRPr="00983E7C">
        <w:rPr>
          <w:rFonts w:cs="Arial"/>
        </w:rPr>
        <w:t>Im Jahr 2024 verzeichnete die Weltwirtschaft ein moderates Wachstum von 3,</w:t>
      </w:r>
      <w:r w:rsidR="009A2E58">
        <w:rPr>
          <w:rFonts w:cs="Arial"/>
        </w:rPr>
        <w:t>2</w:t>
      </w:r>
      <w:r w:rsidRPr="00983E7C">
        <w:rPr>
          <w:rFonts w:cs="Arial"/>
        </w:rPr>
        <w:t xml:space="preserve"> </w:t>
      </w:r>
      <w:r>
        <w:rPr>
          <w:rFonts w:cs="Arial"/>
        </w:rPr>
        <w:t xml:space="preserve">Prozent. </w:t>
      </w:r>
      <w:r w:rsidRPr="00983E7C">
        <w:rPr>
          <w:rFonts w:cs="Arial"/>
        </w:rPr>
        <w:t xml:space="preserve">Dieses Wachstum wurde maßgeblich durch die robuste wirtschaftliche Entwicklung in den USA und mehreren großen Schwellenländern getragen. Allerdings wurden die globalen Handelsbeziehungen </w:t>
      </w:r>
      <w:proofErr w:type="gramStart"/>
      <w:r w:rsidRPr="00983E7C">
        <w:rPr>
          <w:rFonts w:cs="Arial"/>
        </w:rPr>
        <w:t>durch zunehmende</w:t>
      </w:r>
      <w:proofErr w:type="gramEnd"/>
      <w:r w:rsidRPr="00983E7C">
        <w:rPr>
          <w:rFonts w:cs="Arial"/>
        </w:rPr>
        <w:t xml:space="preserve"> geopolitische Spannungen und protektionistische Maßnahmen belastet.</w:t>
      </w:r>
      <w:r>
        <w:rPr>
          <w:rStyle w:val="Funotenzeichen"/>
          <w:rFonts w:cs="Arial"/>
        </w:rPr>
        <w:footnoteReference w:id="2"/>
      </w:r>
      <w:r w:rsidRPr="00983E7C">
        <w:rPr>
          <w:rFonts w:cs="Arial"/>
        </w:rPr>
        <w:t xml:space="preserve"> </w:t>
      </w:r>
    </w:p>
    <w:p w14:paraId="19F29E5C" w14:textId="4CD1A473" w:rsidR="00CE5294" w:rsidRPr="00983E7C" w:rsidRDefault="00CE5294" w:rsidP="00CE5294">
      <w:pPr>
        <w:rPr>
          <w:rFonts w:cs="Arial"/>
        </w:rPr>
      </w:pPr>
      <w:r w:rsidRPr="00983E7C">
        <w:rPr>
          <w:rFonts w:cs="Arial"/>
        </w:rPr>
        <w:lastRenderedPageBreak/>
        <w:t>Die globale Inflationsrate wurde für 2024 auf rund 5,</w:t>
      </w:r>
      <w:r w:rsidR="009A2E58">
        <w:rPr>
          <w:rFonts w:cs="Arial"/>
        </w:rPr>
        <w:t>8</w:t>
      </w:r>
      <w:r w:rsidRPr="00983E7C">
        <w:rPr>
          <w:rFonts w:cs="Arial"/>
        </w:rPr>
        <w:t xml:space="preserve"> </w:t>
      </w:r>
      <w:r>
        <w:rPr>
          <w:rFonts w:cs="Arial"/>
        </w:rPr>
        <w:t>Prozent</w:t>
      </w:r>
      <w:r w:rsidRPr="00983E7C">
        <w:rPr>
          <w:rFonts w:cs="Arial"/>
        </w:rPr>
        <w:t xml:space="preserve"> geschätzt, was einen Rückgang gegenüber den 6,</w:t>
      </w:r>
      <w:r w:rsidR="009A2E58">
        <w:rPr>
          <w:rFonts w:cs="Arial"/>
        </w:rPr>
        <w:t>7</w:t>
      </w:r>
      <w:r w:rsidRPr="00983E7C">
        <w:rPr>
          <w:rFonts w:cs="Arial"/>
        </w:rPr>
        <w:t xml:space="preserve"> </w:t>
      </w:r>
      <w:r>
        <w:rPr>
          <w:rFonts w:cs="Arial"/>
        </w:rPr>
        <w:t>Prozent</w:t>
      </w:r>
      <w:r w:rsidRPr="00983E7C">
        <w:rPr>
          <w:rFonts w:cs="Arial"/>
        </w:rPr>
        <w:t xml:space="preserve"> des Vorjahres darstellt.</w:t>
      </w:r>
      <w:r w:rsidR="009A2E58">
        <w:rPr>
          <w:rStyle w:val="Funotenzeichen"/>
          <w:rFonts w:cs="Arial"/>
        </w:rPr>
        <w:footnoteReference w:id="3"/>
      </w:r>
      <w:r w:rsidRPr="00983E7C">
        <w:rPr>
          <w:rFonts w:cs="Arial"/>
        </w:rPr>
        <w:t xml:space="preserve"> Dieser Rückgang ist hauptsächlich auf sinkende Energiepreise und eine Normalisierung der Lieferketten zurückzuführen</w:t>
      </w:r>
      <w:r w:rsidR="009A2E58">
        <w:rPr>
          <w:rFonts w:cs="Arial"/>
        </w:rPr>
        <w:t>.</w:t>
      </w:r>
    </w:p>
    <w:p w14:paraId="71256B52" w14:textId="77777777" w:rsidR="00CE5294" w:rsidRPr="00CE5294" w:rsidRDefault="00CE5294" w:rsidP="00CE5294">
      <w:pPr>
        <w:spacing w:before="360" w:after="0"/>
        <w:rPr>
          <w:rFonts w:cs="Arial"/>
          <w:b/>
          <w:bCs/>
          <w:color w:val="1E2445"/>
        </w:rPr>
      </w:pPr>
      <w:r w:rsidRPr="00CE5294">
        <w:rPr>
          <w:rFonts w:cs="Arial"/>
          <w:b/>
          <w:bCs/>
          <w:color w:val="1E2445"/>
        </w:rPr>
        <w:t>Wirtschaftsentwicklung in der Europäischen Union 2024</w:t>
      </w:r>
    </w:p>
    <w:p w14:paraId="43932099" w14:textId="68B36BFC" w:rsidR="00CE5294" w:rsidRDefault="00CE5294" w:rsidP="00CE5294">
      <w:pPr>
        <w:rPr>
          <w:rFonts w:cs="Arial"/>
        </w:rPr>
      </w:pPr>
      <w:r w:rsidRPr="00983E7C">
        <w:rPr>
          <w:rFonts w:cs="Arial"/>
        </w:rPr>
        <w:t xml:space="preserve">Die Europäische Union (EU) erzielte im Jahr 2024 ein reales </w:t>
      </w:r>
      <w:r>
        <w:rPr>
          <w:rFonts w:cs="Arial"/>
        </w:rPr>
        <w:t>Wachstum des Bruttoinlandsproduktes (BIP)</w:t>
      </w:r>
      <w:r w:rsidRPr="00983E7C">
        <w:rPr>
          <w:rFonts w:cs="Arial"/>
        </w:rPr>
        <w:t xml:space="preserve"> von </w:t>
      </w:r>
      <w:r w:rsidR="009913A9">
        <w:rPr>
          <w:rFonts w:cs="Arial"/>
        </w:rPr>
        <w:t>1</w:t>
      </w:r>
      <w:r w:rsidRPr="00983E7C">
        <w:rPr>
          <w:rFonts w:cs="Arial"/>
        </w:rPr>
        <w:t>,</w:t>
      </w:r>
      <w:r w:rsidR="009913A9">
        <w:rPr>
          <w:rFonts w:cs="Arial"/>
        </w:rPr>
        <w:t>0</w:t>
      </w:r>
      <w:r w:rsidRPr="00983E7C">
        <w:rPr>
          <w:rFonts w:cs="Arial"/>
        </w:rPr>
        <w:t xml:space="preserve"> </w:t>
      </w:r>
      <w:r>
        <w:rPr>
          <w:rFonts w:cs="Arial"/>
        </w:rPr>
        <w:t xml:space="preserve">Prozent. </w:t>
      </w:r>
      <w:r w:rsidRPr="00983E7C">
        <w:rPr>
          <w:rFonts w:cs="Arial"/>
        </w:rPr>
        <w:t>Besonders positive Beiträge kamen aus süd- und osteuropäischen Ländern wie Spanien</w:t>
      </w:r>
      <w:r w:rsidR="009913A9">
        <w:rPr>
          <w:rFonts w:cs="Arial"/>
        </w:rPr>
        <w:t xml:space="preserve"> (+3,2 Prozent)</w:t>
      </w:r>
      <w:r w:rsidRPr="00983E7C">
        <w:rPr>
          <w:rFonts w:cs="Arial"/>
        </w:rPr>
        <w:t xml:space="preserve"> und Polen</w:t>
      </w:r>
      <w:r w:rsidR="009913A9">
        <w:rPr>
          <w:rFonts w:cs="Arial"/>
        </w:rPr>
        <w:t xml:space="preserve"> (+2,9 Prozent)</w:t>
      </w:r>
      <w:r w:rsidRPr="00983E7C">
        <w:rPr>
          <w:rFonts w:cs="Arial"/>
        </w:rPr>
        <w:t>.</w:t>
      </w:r>
      <w:r>
        <w:rPr>
          <w:rStyle w:val="Funotenzeichen"/>
          <w:rFonts w:cs="Arial"/>
        </w:rPr>
        <w:footnoteReference w:id="4"/>
      </w:r>
      <w:r w:rsidRPr="00983E7C">
        <w:rPr>
          <w:rFonts w:cs="Arial"/>
        </w:rPr>
        <w:t xml:space="preserve"> </w:t>
      </w:r>
    </w:p>
    <w:p w14:paraId="7E567880" w14:textId="1CB50D6A" w:rsidR="00CE5294" w:rsidRDefault="00CE5294" w:rsidP="00CE5294">
      <w:pPr>
        <w:spacing w:after="0"/>
        <w:rPr>
          <w:rFonts w:cs="Arial"/>
        </w:rPr>
      </w:pPr>
      <w:r w:rsidRPr="00983E7C">
        <w:rPr>
          <w:rFonts w:cs="Arial"/>
        </w:rPr>
        <w:t xml:space="preserve">Die Inflationsrate in der EU betrug im </w:t>
      </w:r>
      <w:r w:rsidR="00894085">
        <w:rPr>
          <w:rFonts w:cs="Arial"/>
        </w:rPr>
        <w:t>Kalenderjahr</w:t>
      </w:r>
      <w:r w:rsidRPr="00983E7C">
        <w:rPr>
          <w:rFonts w:cs="Arial"/>
        </w:rPr>
        <w:t xml:space="preserve"> 2024 rund 2,</w:t>
      </w:r>
      <w:r w:rsidR="00894085">
        <w:rPr>
          <w:rFonts w:cs="Arial"/>
        </w:rPr>
        <w:t>6</w:t>
      </w:r>
      <w:r w:rsidRPr="00983E7C">
        <w:rPr>
          <w:rFonts w:cs="Arial"/>
        </w:rPr>
        <w:t xml:space="preserve"> </w:t>
      </w:r>
      <w:r>
        <w:rPr>
          <w:rFonts w:cs="Arial"/>
        </w:rPr>
        <w:t xml:space="preserve">Prozent, </w:t>
      </w:r>
      <w:r w:rsidR="00894085">
        <w:rPr>
          <w:rFonts w:cs="Arial"/>
        </w:rPr>
        <w:t>womit sich die Teuerungsentwicklung deutlich abschwächte</w:t>
      </w:r>
      <w:r w:rsidRPr="00983E7C">
        <w:rPr>
          <w:rFonts w:cs="Arial"/>
        </w:rPr>
        <w:t xml:space="preserve">. </w:t>
      </w:r>
      <w:r w:rsidR="00894085">
        <w:rPr>
          <w:rFonts w:cs="Arial"/>
        </w:rPr>
        <w:t xml:space="preserve">Die weiterhin erhöhte Inflationsrate ist </w:t>
      </w:r>
      <w:r w:rsidRPr="00983E7C">
        <w:rPr>
          <w:rFonts w:cs="Arial"/>
        </w:rPr>
        <w:t xml:space="preserve">hauptsächlich durch höhere Energiepreise und gestiegene Dienstleistungskosten </w:t>
      </w:r>
      <w:r w:rsidR="00894085">
        <w:rPr>
          <w:rFonts w:cs="Arial"/>
        </w:rPr>
        <w:t>zu begründen</w:t>
      </w:r>
      <w:r w:rsidRPr="00983E7C">
        <w:rPr>
          <w:rFonts w:cs="Arial"/>
        </w:rPr>
        <w:t>.</w:t>
      </w:r>
      <w:r w:rsidR="00894085">
        <w:rPr>
          <w:rStyle w:val="Funotenzeichen"/>
          <w:rFonts w:cs="Arial"/>
        </w:rPr>
        <w:footnoteReference w:id="5"/>
      </w:r>
    </w:p>
    <w:p w14:paraId="5659CE6B" w14:textId="77777777" w:rsidR="00CE5294" w:rsidRPr="00CE5294" w:rsidRDefault="00CE5294" w:rsidP="00CE5294">
      <w:pPr>
        <w:spacing w:before="360" w:after="0"/>
        <w:rPr>
          <w:rFonts w:cs="Arial"/>
          <w:b/>
          <w:bCs/>
          <w:color w:val="1E2445"/>
        </w:rPr>
      </w:pPr>
      <w:r w:rsidRPr="00CE5294">
        <w:rPr>
          <w:rFonts w:cs="Arial"/>
          <w:b/>
          <w:bCs/>
          <w:color w:val="1E2445"/>
        </w:rPr>
        <w:t>Wirtschaftsentwicklung in Deutschland 2024</w:t>
      </w:r>
    </w:p>
    <w:p w14:paraId="4E50CBE4" w14:textId="4BC17C0D" w:rsidR="00CE5294" w:rsidRDefault="00CE5294" w:rsidP="00CE5294">
      <w:pPr>
        <w:rPr>
          <w:rFonts w:cs="Arial"/>
        </w:rPr>
      </w:pPr>
      <w:r w:rsidRPr="00983E7C">
        <w:rPr>
          <w:rFonts w:cs="Arial"/>
        </w:rPr>
        <w:t>Die deutsche Wirtschaft befand sich im Jahr 2024 in einer Rezession und verzeichnete einen Rückgang des</w:t>
      </w:r>
      <w:r>
        <w:rPr>
          <w:rFonts w:cs="Arial"/>
        </w:rPr>
        <w:t xml:space="preserve"> </w:t>
      </w:r>
      <w:r w:rsidRPr="00983E7C">
        <w:rPr>
          <w:rFonts w:cs="Arial"/>
        </w:rPr>
        <w:t xml:space="preserve">BIP um 0,2 </w:t>
      </w:r>
      <w:r>
        <w:rPr>
          <w:rFonts w:cs="Arial"/>
        </w:rPr>
        <w:t>Prozent.</w:t>
      </w:r>
      <w:r w:rsidRPr="00983E7C">
        <w:rPr>
          <w:rFonts w:cs="Arial"/>
        </w:rPr>
        <w:t xml:space="preserve"> Dies markierte das zweite aufeinanderfolgende Jahr mit negativer Wirtschaftsentwicklung, nach einem Rückgang von 0,3 </w:t>
      </w:r>
      <w:r>
        <w:rPr>
          <w:rFonts w:cs="Arial"/>
        </w:rPr>
        <w:t>Prozent</w:t>
      </w:r>
      <w:r w:rsidRPr="00983E7C">
        <w:rPr>
          <w:rFonts w:cs="Arial"/>
        </w:rPr>
        <w:t xml:space="preserve"> im Jahr 2023.</w:t>
      </w:r>
      <w:r w:rsidR="00911379">
        <w:rPr>
          <w:rStyle w:val="Funotenzeichen"/>
          <w:rFonts w:cs="Arial"/>
        </w:rPr>
        <w:footnoteReference w:id="6"/>
      </w:r>
      <w:r w:rsidRPr="00983E7C">
        <w:rPr>
          <w:rFonts w:cs="Arial"/>
        </w:rPr>
        <w:t xml:space="preserve"> Ursachen hierfür waren unter anderem eine schwächelnde Industrieproduktion, steigende Unternehmensinsolvenzen und eine nachlassende Exportnachfrage. Zudem belasteten hohe Energiekosten und zunehmende Bürokratie die Wettbewerbsfähigkeit der deutschen Unternehmen.</w:t>
      </w:r>
    </w:p>
    <w:p w14:paraId="0CAACEAF" w14:textId="3BB44389" w:rsidR="00CE5294" w:rsidRPr="00983E7C" w:rsidRDefault="00CE5294" w:rsidP="00CE5294">
      <w:pPr>
        <w:rPr>
          <w:rFonts w:cs="Arial"/>
        </w:rPr>
      </w:pPr>
      <w:r w:rsidRPr="00983E7C">
        <w:rPr>
          <w:rFonts w:cs="Arial"/>
        </w:rPr>
        <w:t xml:space="preserve">Die Inflationsrate in Deutschland lag im Jahr 2024 bei 2,2 </w:t>
      </w:r>
      <w:r>
        <w:rPr>
          <w:rFonts w:cs="Arial"/>
        </w:rPr>
        <w:t xml:space="preserve">Prozent, </w:t>
      </w:r>
      <w:r w:rsidRPr="00983E7C">
        <w:rPr>
          <w:rFonts w:cs="Arial"/>
        </w:rPr>
        <w:t>was einen deutlichen Rückgang gegenüber den Vorjahren darstellt. Dieser Rückgang ist vor allem auf sinkende Energiepreise zurückzuführen.</w:t>
      </w:r>
      <w:r>
        <w:rPr>
          <w:rStyle w:val="Funotenzeichen"/>
          <w:rFonts w:cs="Arial"/>
        </w:rPr>
        <w:footnoteReference w:id="7"/>
      </w:r>
      <w:r w:rsidR="00911379">
        <w:rPr>
          <w:rFonts w:cs="Arial"/>
        </w:rPr>
        <w:t xml:space="preserve"> Zudem stabilisierten sich die globalen Lieferketten.</w:t>
      </w:r>
    </w:p>
    <w:p w14:paraId="0FC7D5C9" w14:textId="77777777" w:rsidR="00CE5294" w:rsidRDefault="00CE5294" w:rsidP="00CE5294">
      <w:pPr>
        <w:spacing w:after="0"/>
        <w:rPr>
          <w:rFonts w:cs="Arial"/>
        </w:rPr>
      </w:pPr>
      <w:r w:rsidRPr="004A61B1">
        <w:rPr>
          <w:rFonts w:cs="Arial"/>
        </w:rPr>
        <w:t>Zusammenfassend lässt sich feststellen, dass die globale Wirtschaft im Jahr 2024 ein moderates Wachstum verzeichnete, während die EU ein leichtes Wachstum und Deutschland einen leichten Rückgang der Wirtschaftsleistung erlebten. Die Inflationsraten gingen sowohl global als auch in Deutschland zurück, blieben jedoch in der EU leicht erhöht.</w:t>
      </w:r>
    </w:p>
    <w:p w14:paraId="00613B11" w14:textId="77777777" w:rsidR="00CE5294" w:rsidRPr="00CE5294" w:rsidRDefault="00CE5294" w:rsidP="00CE5294">
      <w:pPr>
        <w:spacing w:before="360" w:after="0"/>
        <w:rPr>
          <w:rFonts w:cs="Arial"/>
          <w:b/>
          <w:bCs/>
          <w:color w:val="1E2445"/>
        </w:rPr>
      </w:pPr>
      <w:r w:rsidRPr="00CE5294">
        <w:rPr>
          <w:rFonts w:cs="Arial"/>
          <w:b/>
          <w:bCs/>
          <w:color w:val="1E2445"/>
        </w:rPr>
        <w:t xml:space="preserve">Entwicklungen globaler Arbeitsmarkt </w:t>
      </w:r>
    </w:p>
    <w:p w14:paraId="4DB3858C" w14:textId="66A4750E" w:rsidR="00CE5294" w:rsidRPr="00A87EE2" w:rsidRDefault="00CE5294" w:rsidP="00CE5294">
      <w:pPr>
        <w:spacing w:after="0"/>
        <w:rPr>
          <w:rFonts w:cs="Arial"/>
          <w:shd w:val="clear" w:color="auto" w:fill="FFFFFF"/>
        </w:rPr>
      </w:pPr>
      <w:r w:rsidRPr="004D5F8D">
        <w:rPr>
          <w:rFonts w:cs="Arial"/>
          <w:shd w:val="clear" w:color="auto" w:fill="FFFFFF"/>
        </w:rPr>
        <w:t xml:space="preserve">Laut der Internationalen Arbeitsorganisation (ILO) blieb die weltweite Arbeitslosenquote im Jahr 2024 bei historischen Tiefstständen von etwa 5 </w:t>
      </w:r>
      <w:r>
        <w:rPr>
          <w:rFonts w:cs="Arial"/>
        </w:rPr>
        <w:t xml:space="preserve">Prozent, ähnlich zu 2023. </w:t>
      </w:r>
      <w:r w:rsidRPr="005404B4">
        <w:rPr>
          <w:rFonts w:cs="Arial"/>
        </w:rPr>
        <w:t xml:space="preserve">Besonders junge Menschen sehen sich </w:t>
      </w:r>
      <w:r w:rsidR="00604BB1">
        <w:rPr>
          <w:rFonts w:cs="Arial"/>
        </w:rPr>
        <w:t>jedoch</w:t>
      </w:r>
      <w:r w:rsidRPr="005404B4">
        <w:rPr>
          <w:rFonts w:cs="Arial"/>
        </w:rPr>
        <w:t xml:space="preserve"> deutlich höheren Arbeitslosenquoten – etwa 12,6 Prozent – gegenüber</w:t>
      </w:r>
      <w:r>
        <w:rPr>
          <w:rFonts w:cs="Arial"/>
        </w:rPr>
        <w:t xml:space="preserve">. </w:t>
      </w:r>
      <w:r w:rsidRPr="005404B4">
        <w:rPr>
          <w:rFonts w:cs="Arial"/>
          <w:shd w:val="clear" w:color="auto" w:fill="FFFFFF"/>
        </w:rPr>
        <w:t>Trotz stabiler Arbeitslosenquoten lag die globale Arbeitsmarkt</w:t>
      </w:r>
      <w:r w:rsidR="00297462">
        <w:rPr>
          <w:rFonts w:cs="Arial"/>
          <w:shd w:val="clear" w:color="auto" w:fill="FFFFFF"/>
        </w:rPr>
        <w:t>l</w:t>
      </w:r>
      <w:r w:rsidRPr="005404B4">
        <w:rPr>
          <w:rFonts w:cs="Arial"/>
          <w:shd w:val="clear" w:color="auto" w:fill="FFFFFF"/>
        </w:rPr>
        <w:t xml:space="preserve">ücke, die die ILO </w:t>
      </w:r>
      <w:r w:rsidRPr="005404B4">
        <w:rPr>
          <w:rFonts w:cs="Arial"/>
          <w:shd w:val="clear" w:color="auto" w:fill="FFFFFF"/>
        </w:rPr>
        <w:lastRenderedPageBreak/>
        <w:t>als Schätzung der insgesamt fehlenden Arbeitsplätze angibt, im Jahr 2024 bei etwa 402,4 Millionen</w:t>
      </w:r>
      <w:r>
        <w:rPr>
          <w:rFonts w:cs="Arial"/>
          <w:shd w:val="clear" w:color="auto" w:fill="FFFFFF"/>
        </w:rPr>
        <w:t xml:space="preserve"> Personen</w:t>
      </w:r>
      <w:r w:rsidRPr="005404B4">
        <w:rPr>
          <w:rFonts w:cs="Arial"/>
          <w:shd w:val="clear" w:color="auto" w:fill="FFFFFF"/>
        </w:rPr>
        <w:t>.</w:t>
      </w:r>
      <w:r>
        <w:rPr>
          <w:rStyle w:val="Funotenzeichen"/>
          <w:rFonts w:cs="Arial"/>
          <w:shd w:val="clear" w:color="auto" w:fill="FFFFFF"/>
        </w:rPr>
        <w:footnoteReference w:id="8"/>
      </w:r>
    </w:p>
    <w:p w14:paraId="7B1727F1" w14:textId="77777777" w:rsidR="00CE5294" w:rsidRPr="00CE5294" w:rsidRDefault="00CE5294" w:rsidP="00CE5294">
      <w:pPr>
        <w:spacing w:before="360" w:after="0"/>
        <w:rPr>
          <w:rFonts w:cs="Arial"/>
          <w:b/>
          <w:bCs/>
          <w:color w:val="1E2445"/>
        </w:rPr>
      </w:pPr>
      <w:r w:rsidRPr="00CE5294">
        <w:rPr>
          <w:rFonts w:cs="Arial"/>
          <w:b/>
          <w:bCs/>
          <w:color w:val="1E2445"/>
        </w:rPr>
        <w:t>Entwicklung europäischer Arbeitsmarkt</w:t>
      </w:r>
    </w:p>
    <w:p w14:paraId="426451D2" w14:textId="69977848" w:rsidR="00CE5294" w:rsidRPr="004D5F8D" w:rsidRDefault="00CE5294" w:rsidP="00CE5294">
      <w:pPr>
        <w:rPr>
          <w:rFonts w:cs="Arial"/>
          <w:shd w:val="clear" w:color="auto" w:fill="FFFFFF"/>
        </w:rPr>
      </w:pPr>
      <w:r w:rsidRPr="004D5F8D">
        <w:rPr>
          <w:rFonts w:cs="Arial"/>
          <w:shd w:val="clear" w:color="auto" w:fill="FFFFFF"/>
        </w:rPr>
        <w:t xml:space="preserve">In der EU betrug die Erwerbslosenquote im </w:t>
      </w:r>
      <w:r w:rsidR="00297462">
        <w:rPr>
          <w:rFonts w:cs="Arial"/>
          <w:shd w:val="clear" w:color="auto" w:fill="FFFFFF"/>
        </w:rPr>
        <w:t>Schlussquartal</w:t>
      </w:r>
      <w:r w:rsidRPr="004D5F8D">
        <w:rPr>
          <w:rFonts w:cs="Arial"/>
          <w:shd w:val="clear" w:color="auto" w:fill="FFFFFF"/>
        </w:rPr>
        <w:t xml:space="preserve"> 2024 durchschnittlich 5,</w:t>
      </w:r>
      <w:r w:rsidR="00297462">
        <w:rPr>
          <w:rFonts w:cs="Arial"/>
          <w:shd w:val="clear" w:color="auto" w:fill="FFFFFF"/>
        </w:rPr>
        <w:t>5</w:t>
      </w:r>
      <w:r w:rsidRPr="004D5F8D">
        <w:rPr>
          <w:rFonts w:cs="Arial"/>
          <w:shd w:val="clear" w:color="auto" w:fill="FFFFFF"/>
        </w:rPr>
        <w:t xml:space="preserve"> </w:t>
      </w:r>
      <w:r w:rsidRPr="005404B4">
        <w:rPr>
          <w:rFonts w:cs="Arial"/>
        </w:rPr>
        <w:t>Prozent</w:t>
      </w:r>
      <w:r>
        <w:rPr>
          <w:rFonts w:cs="Arial"/>
        </w:rPr>
        <w:t xml:space="preserve">, </w:t>
      </w:r>
      <w:r w:rsidRPr="004D5F8D">
        <w:rPr>
          <w:rFonts w:cs="Arial"/>
          <w:shd w:val="clear" w:color="auto" w:fill="FFFFFF"/>
        </w:rPr>
        <w:t xml:space="preserve">was einem leichten Rückgang gegenüber den </w:t>
      </w:r>
      <w:r w:rsidR="00297462">
        <w:rPr>
          <w:rFonts w:cs="Arial"/>
          <w:shd w:val="clear" w:color="auto" w:fill="FFFFFF"/>
        </w:rPr>
        <w:t>5</w:t>
      </w:r>
      <w:r w:rsidRPr="004D5F8D">
        <w:rPr>
          <w:rFonts w:cs="Arial"/>
          <w:shd w:val="clear" w:color="auto" w:fill="FFFFFF"/>
        </w:rPr>
        <w:t>,</w:t>
      </w:r>
      <w:r w:rsidR="00297462">
        <w:rPr>
          <w:rFonts w:cs="Arial"/>
          <w:shd w:val="clear" w:color="auto" w:fill="FFFFFF"/>
        </w:rPr>
        <w:t>7</w:t>
      </w:r>
      <w:r w:rsidRPr="004D5F8D">
        <w:rPr>
          <w:rFonts w:cs="Arial"/>
          <w:shd w:val="clear" w:color="auto" w:fill="FFFFFF"/>
        </w:rPr>
        <w:t xml:space="preserve"> </w:t>
      </w:r>
      <w:r w:rsidRPr="005404B4">
        <w:rPr>
          <w:rFonts w:cs="Arial"/>
        </w:rPr>
        <w:t xml:space="preserve">Prozent </w:t>
      </w:r>
      <w:r w:rsidRPr="004D5F8D">
        <w:rPr>
          <w:rFonts w:cs="Arial"/>
          <w:shd w:val="clear" w:color="auto" w:fill="FFFFFF"/>
        </w:rPr>
        <w:t xml:space="preserve">im </w:t>
      </w:r>
      <w:r w:rsidR="00297462">
        <w:rPr>
          <w:rFonts w:cs="Arial"/>
          <w:shd w:val="clear" w:color="auto" w:fill="FFFFFF"/>
        </w:rPr>
        <w:t>letzten Jahresviertel</w:t>
      </w:r>
      <w:r w:rsidRPr="004D5F8D">
        <w:rPr>
          <w:rFonts w:cs="Arial"/>
          <w:shd w:val="clear" w:color="auto" w:fill="FFFFFF"/>
        </w:rPr>
        <w:t xml:space="preserve"> 202</w:t>
      </w:r>
      <w:r w:rsidR="00297462">
        <w:rPr>
          <w:rFonts w:cs="Arial"/>
          <w:shd w:val="clear" w:color="auto" w:fill="FFFFFF"/>
        </w:rPr>
        <w:t>3</w:t>
      </w:r>
      <w:r w:rsidRPr="004D5F8D">
        <w:rPr>
          <w:rFonts w:cs="Arial"/>
          <w:shd w:val="clear" w:color="auto" w:fill="FFFFFF"/>
        </w:rPr>
        <w:t xml:space="preserve"> entspricht. Insgesamt waren in der EU</w:t>
      </w:r>
      <w:r w:rsidR="00297462">
        <w:rPr>
          <w:rFonts w:cs="Arial"/>
          <w:shd w:val="clear" w:color="auto" w:fill="FFFFFF"/>
        </w:rPr>
        <w:t xml:space="preserve"> zwischen Oktober und Dezember 2024 durchschnittlich</w:t>
      </w:r>
      <w:r w:rsidRPr="004D5F8D">
        <w:rPr>
          <w:rFonts w:cs="Arial"/>
          <w:shd w:val="clear" w:color="auto" w:fill="FFFFFF"/>
        </w:rPr>
        <w:t xml:space="preserve"> 1</w:t>
      </w:r>
      <w:r w:rsidR="00297462">
        <w:rPr>
          <w:rFonts w:cs="Arial"/>
          <w:shd w:val="clear" w:color="auto" w:fill="FFFFFF"/>
        </w:rPr>
        <w:t>1</w:t>
      </w:r>
      <w:r w:rsidRPr="004D5F8D">
        <w:rPr>
          <w:rFonts w:cs="Arial"/>
          <w:shd w:val="clear" w:color="auto" w:fill="FFFFFF"/>
        </w:rPr>
        <w:t>,</w:t>
      </w:r>
      <w:r w:rsidR="00297462">
        <w:rPr>
          <w:rFonts w:cs="Arial"/>
          <w:shd w:val="clear" w:color="auto" w:fill="FFFFFF"/>
        </w:rPr>
        <w:t>6</w:t>
      </w:r>
      <w:r w:rsidRPr="004D5F8D">
        <w:rPr>
          <w:rFonts w:cs="Arial"/>
          <w:shd w:val="clear" w:color="auto" w:fill="FFFFFF"/>
        </w:rPr>
        <w:t xml:space="preserve"> Millionen Menschen ohne Arbeit.</w:t>
      </w:r>
      <w:r>
        <w:rPr>
          <w:rStyle w:val="Funotenzeichen"/>
          <w:rFonts w:cs="Arial"/>
          <w:shd w:val="clear" w:color="auto" w:fill="FFFFFF"/>
        </w:rPr>
        <w:footnoteReference w:id="9"/>
      </w:r>
      <w:r w:rsidRPr="004D5F8D">
        <w:rPr>
          <w:rFonts w:cs="Arial"/>
          <w:shd w:val="clear" w:color="auto" w:fill="FFFFFF"/>
        </w:rPr>
        <w:t xml:space="preserve"> </w:t>
      </w:r>
    </w:p>
    <w:p w14:paraId="55A39012" w14:textId="77777777" w:rsidR="00E62077" w:rsidRDefault="00CE5294" w:rsidP="00CE5294">
      <w:pPr>
        <w:rPr>
          <w:rFonts w:cs="Arial"/>
          <w:shd w:val="clear" w:color="auto" w:fill="FFFFFF"/>
        </w:rPr>
      </w:pPr>
      <w:r w:rsidRPr="004D5F8D">
        <w:rPr>
          <w:rFonts w:cs="Arial"/>
          <w:shd w:val="clear" w:color="auto" w:fill="FFFFFF"/>
        </w:rPr>
        <w:t xml:space="preserve">Die Beschäftigungsquote </w:t>
      </w:r>
      <w:r w:rsidR="00E62077">
        <w:rPr>
          <w:rFonts w:cs="Arial"/>
          <w:shd w:val="clear" w:color="auto" w:fill="FFFFFF"/>
        </w:rPr>
        <w:t>zeigt in der EU weiterhin deutliche geschlechtsspezifische Unterschiede. Während im vierten Quartal 2024 80,9 Prozent der Männer sich in einem Beschäftigungsverhältnis befanden, lag die Quote bei Frauen lediglich bei 70,9 Prozent.</w:t>
      </w:r>
      <w:r>
        <w:rPr>
          <w:rStyle w:val="Funotenzeichen"/>
          <w:rFonts w:cs="Arial"/>
          <w:shd w:val="clear" w:color="auto" w:fill="FFFFFF"/>
        </w:rPr>
        <w:footnoteReference w:id="10"/>
      </w:r>
      <w:r w:rsidRPr="004D5F8D">
        <w:rPr>
          <w:rFonts w:cs="Arial"/>
          <w:shd w:val="clear" w:color="auto" w:fill="FFFFFF"/>
        </w:rPr>
        <w:t xml:space="preserve"> </w:t>
      </w:r>
    </w:p>
    <w:p w14:paraId="2C8F362E" w14:textId="4E2B835C" w:rsidR="00CE5294" w:rsidRPr="004D5F8D" w:rsidRDefault="00CE5294" w:rsidP="00CE5294">
      <w:pPr>
        <w:rPr>
          <w:rFonts w:cs="Arial"/>
          <w:shd w:val="clear" w:color="auto" w:fill="FFFFFF"/>
        </w:rPr>
      </w:pPr>
      <w:r>
        <w:rPr>
          <w:rFonts w:cs="Arial"/>
          <w:shd w:val="clear" w:color="auto" w:fill="FFFFFF"/>
        </w:rPr>
        <w:t>Es gilt</w:t>
      </w:r>
      <w:r w:rsidRPr="004D5F8D">
        <w:rPr>
          <w:rFonts w:cs="Arial"/>
          <w:shd w:val="clear" w:color="auto" w:fill="FFFFFF"/>
        </w:rPr>
        <w:t xml:space="preserve"> zu beachten, dass innerhalb der EU </w:t>
      </w:r>
      <w:r w:rsidR="00E62077">
        <w:rPr>
          <w:rFonts w:cs="Arial"/>
          <w:shd w:val="clear" w:color="auto" w:fill="FFFFFF"/>
        </w:rPr>
        <w:t xml:space="preserve">hinsichtlich der Arbeitslosenquoten </w:t>
      </w:r>
      <w:r w:rsidRPr="004D5F8D">
        <w:rPr>
          <w:rFonts w:cs="Arial"/>
          <w:shd w:val="clear" w:color="auto" w:fill="FFFFFF"/>
        </w:rPr>
        <w:t>erhebliche Unterschiede zwischen den Mitgliedstaaten bestehen. Während Länder wie Tschechien, Malta und Polen sehr niedrige Arbeitslosenquoten von 2,</w:t>
      </w:r>
      <w:r w:rsidR="00E62077">
        <w:rPr>
          <w:rFonts w:cs="Arial"/>
          <w:shd w:val="clear" w:color="auto" w:fill="FFFFFF"/>
        </w:rPr>
        <w:t>5</w:t>
      </w:r>
      <w:r w:rsidRPr="004D5F8D">
        <w:rPr>
          <w:rFonts w:cs="Arial"/>
          <w:shd w:val="clear" w:color="auto" w:fill="FFFFFF"/>
        </w:rPr>
        <w:t xml:space="preserve"> </w:t>
      </w:r>
      <w:r w:rsidRPr="005404B4">
        <w:rPr>
          <w:rFonts w:cs="Arial"/>
        </w:rPr>
        <w:t>Prozent</w:t>
      </w:r>
      <w:r w:rsidRPr="004D5F8D">
        <w:rPr>
          <w:rFonts w:cs="Arial"/>
          <w:shd w:val="clear" w:color="auto" w:fill="FFFFFF"/>
        </w:rPr>
        <w:t xml:space="preserve"> bis </w:t>
      </w:r>
      <w:r w:rsidR="00E62077">
        <w:rPr>
          <w:rFonts w:cs="Arial"/>
          <w:shd w:val="clear" w:color="auto" w:fill="FFFFFF"/>
        </w:rPr>
        <w:t>2</w:t>
      </w:r>
      <w:r w:rsidRPr="004D5F8D">
        <w:rPr>
          <w:rFonts w:cs="Arial"/>
          <w:shd w:val="clear" w:color="auto" w:fill="FFFFFF"/>
        </w:rPr>
        <w:t>,</w:t>
      </w:r>
      <w:r w:rsidR="00E62077">
        <w:rPr>
          <w:rFonts w:cs="Arial"/>
          <w:shd w:val="clear" w:color="auto" w:fill="FFFFFF"/>
        </w:rPr>
        <w:t>7</w:t>
      </w:r>
      <w:r w:rsidRPr="004D5F8D">
        <w:rPr>
          <w:rFonts w:cs="Arial"/>
          <w:shd w:val="clear" w:color="auto" w:fill="FFFFFF"/>
        </w:rPr>
        <w:t xml:space="preserve"> </w:t>
      </w:r>
      <w:r w:rsidRPr="005404B4">
        <w:rPr>
          <w:rFonts w:cs="Arial"/>
        </w:rPr>
        <w:t>Prozent</w:t>
      </w:r>
      <w:r w:rsidRPr="004D5F8D">
        <w:rPr>
          <w:rFonts w:cs="Arial"/>
          <w:shd w:val="clear" w:color="auto" w:fill="FFFFFF"/>
        </w:rPr>
        <w:t xml:space="preserve"> </w:t>
      </w:r>
      <w:r w:rsidR="00E62077">
        <w:rPr>
          <w:rFonts w:cs="Arial"/>
          <w:shd w:val="clear" w:color="auto" w:fill="FFFFFF"/>
        </w:rPr>
        <w:t>ausweisen</w:t>
      </w:r>
      <w:r w:rsidRPr="004D5F8D">
        <w:rPr>
          <w:rFonts w:cs="Arial"/>
          <w:shd w:val="clear" w:color="auto" w:fill="FFFFFF"/>
        </w:rPr>
        <w:t>, kämpften andere</w:t>
      </w:r>
      <w:r w:rsidR="00604BB1">
        <w:rPr>
          <w:rFonts w:cs="Arial"/>
          <w:shd w:val="clear" w:color="auto" w:fill="FFFFFF"/>
        </w:rPr>
        <w:t>,</w:t>
      </w:r>
      <w:r w:rsidRPr="004D5F8D">
        <w:rPr>
          <w:rFonts w:cs="Arial"/>
          <w:shd w:val="clear" w:color="auto" w:fill="FFFFFF"/>
        </w:rPr>
        <w:t xml:space="preserve"> wie Spanien (1</w:t>
      </w:r>
      <w:r w:rsidR="00E62077">
        <w:rPr>
          <w:rFonts w:cs="Arial"/>
          <w:shd w:val="clear" w:color="auto" w:fill="FFFFFF"/>
        </w:rPr>
        <w:t>0</w:t>
      </w:r>
      <w:r w:rsidRPr="004D5F8D">
        <w:rPr>
          <w:rFonts w:cs="Arial"/>
          <w:shd w:val="clear" w:color="auto" w:fill="FFFFFF"/>
        </w:rPr>
        <w:t>,</w:t>
      </w:r>
      <w:r w:rsidR="00E62077">
        <w:rPr>
          <w:rFonts w:cs="Arial"/>
          <w:shd w:val="clear" w:color="auto" w:fill="FFFFFF"/>
        </w:rPr>
        <w:t>4</w:t>
      </w:r>
      <w:r w:rsidRPr="004D5F8D">
        <w:rPr>
          <w:rFonts w:cs="Arial"/>
          <w:shd w:val="clear" w:color="auto" w:fill="FFFFFF"/>
        </w:rPr>
        <w:t xml:space="preserve"> </w:t>
      </w:r>
      <w:r w:rsidRPr="005404B4">
        <w:rPr>
          <w:rFonts w:cs="Arial"/>
        </w:rPr>
        <w:t>Prozent</w:t>
      </w:r>
      <w:r>
        <w:rPr>
          <w:rFonts w:cs="Arial"/>
          <w:shd w:val="clear" w:color="auto" w:fill="FFFFFF"/>
        </w:rPr>
        <w:t xml:space="preserve">) </w:t>
      </w:r>
      <w:r w:rsidRPr="004D5F8D">
        <w:rPr>
          <w:rFonts w:cs="Arial"/>
          <w:shd w:val="clear" w:color="auto" w:fill="FFFFFF"/>
        </w:rPr>
        <w:t>und Griechenland (9,</w:t>
      </w:r>
      <w:r w:rsidR="00E62077">
        <w:rPr>
          <w:rFonts w:cs="Arial"/>
          <w:shd w:val="clear" w:color="auto" w:fill="FFFFFF"/>
        </w:rPr>
        <w:t>5</w:t>
      </w:r>
      <w:r w:rsidRPr="004D5F8D">
        <w:rPr>
          <w:rFonts w:cs="Arial"/>
          <w:shd w:val="clear" w:color="auto" w:fill="FFFFFF"/>
        </w:rPr>
        <w:t xml:space="preserve"> </w:t>
      </w:r>
      <w:r w:rsidRPr="005404B4">
        <w:rPr>
          <w:rFonts w:cs="Arial"/>
        </w:rPr>
        <w:t>Prozent</w:t>
      </w:r>
      <w:r>
        <w:rPr>
          <w:rFonts w:cs="Arial"/>
          <w:shd w:val="clear" w:color="auto" w:fill="FFFFFF"/>
        </w:rPr>
        <w:t xml:space="preserve">) </w:t>
      </w:r>
      <w:r w:rsidRPr="004D5F8D">
        <w:rPr>
          <w:rFonts w:cs="Arial"/>
          <w:shd w:val="clear" w:color="auto" w:fill="FFFFFF"/>
        </w:rPr>
        <w:t>mit deutlich höheren Quoten.</w:t>
      </w:r>
      <w:r>
        <w:rPr>
          <w:rStyle w:val="Funotenzeichen"/>
          <w:rFonts w:cs="Arial"/>
          <w:shd w:val="clear" w:color="auto" w:fill="FFFFFF"/>
        </w:rPr>
        <w:footnoteReference w:id="11"/>
      </w:r>
      <w:r w:rsidRPr="004D5F8D">
        <w:rPr>
          <w:rFonts w:cs="Arial"/>
          <w:shd w:val="clear" w:color="auto" w:fill="FFFFFF"/>
        </w:rPr>
        <w:t xml:space="preserve"> </w:t>
      </w:r>
    </w:p>
    <w:p w14:paraId="0D1E57E8" w14:textId="77777777" w:rsidR="00CE5294" w:rsidRPr="00924CB3" w:rsidRDefault="00CE5294" w:rsidP="00CE5294">
      <w:pPr>
        <w:spacing w:after="0"/>
        <w:rPr>
          <w:rFonts w:cs="Arial"/>
          <w:shd w:val="clear" w:color="auto" w:fill="FFFFFF"/>
        </w:rPr>
      </w:pPr>
      <w:r w:rsidRPr="004D5F8D">
        <w:rPr>
          <w:rFonts w:cs="Arial"/>
          <w:shd w:val="clear" w:color="auto" w:fill="FFFFFF"/>
        </w:rPr>
        <w:t>Diese Daten verdeutlichen die unterschiedlichen Herausforderungen und Entwicklungen auf den Arbeitsmärkten weltweit und innerhalb Europas im Jahr 2024.</w:t>
      </w:r>
    </w:p>
    <w:p w14:paraId="601F26E9" w14:textId="77777777" w:rsidR="00CE5294" w:rsidRPr="00CE5294" w:rsidRDefault="00CE5294" w:rsidP="00CE5294">
      <w:pPr>
        <w:spacing w:before="360" w:after="0"/>
        <w:rPr>
          <w:rFonts w:cs="Arial"/>
          <w:b/>
          <w:bCs/>
          <w:color w:val="1E2445"/>
        </w:rPr>
      </w:pPr>
      <w:r w:rsidRPr="00CE5294">
        <w:rPr>
          <w:rFonts w:cs="Arial"/>
          <w:b/>
          <w:bCs/>
          <w:color w:val="1E2445"/>
        </w:rPr>
        <w:t>Entwicklung deutscher Arbeitsmarkt</w:t>
      </w:r>
    </w:p>
    <w:p w14:paraId="2624AB5D" w14:textId="77777777" w:rsidR="00CE5294" w:rsidRDefault="00CE5294" w:rsidP="00CE5294">
      <w:pPr>
        <w:rPr>
          <w:rFonts w:cs="Arial"/>
          <w:shd w:val="clear" w:color="auto" w:fill="FFFFFF"/>
        </w:rPr>
      </w:pPr>
      <w:r w:rsidRPr="004D5F8D">
        <w:rPr>
          <w:rFonts w:cs="Arial"/>
          <w:shd w:val="clear" w:color="auto" w:fill="FFFFFF"/>
        </w:rPr>
        <w:t>Im Jahresdurchschnitt 2024 stieg die Zahl der Erwerbstätigen in Deutschland um 72.000 auf insgesamt 46,08 Millionen Personen. Dieser Anstieg ist jedoch geringer als in den Vorjahren, was auf die schwächelnde Wirtschaftsentwicklung zurückzuführen ist.</w:t>
      </w:r>
      <w:r>
        <w:rPr>
          <w:rStyle w:val="Funotenzeichen"/>
          <w:rFonts w:cs="Arial"/>
          <w:shd w:val="clear" w:color="auto" w:fill="FFFFFF"/>
        </w:rPr>
        <w:footnoteReference w:id="12"/>
      </w:r>
      <w:r w:rsidRPr="004D5F8D">
        <w:rPr>
          <w:rFonts w:cs="Arial"/>
          <w:shd w:val="clear" w:color="auto" w:fill="FFFFFF"/>
        </w:rPr>
        <w:t xml:space="preserve"> </w:t>
      </w:r>
    </w:p>
    <w:p w14:paraId="67CEC5C8" w14:textId="77777777" w:rsidR="00CE5294" w:rsidRPr="00924CB3" w:rsidRDefault="00CE5294" w:rsidP="00CE5294">
      <w:pPr>
        <w:rPr>
          <w:rFonts w:cs="Arial"/>
          <w:shd w:val="clear" w:color="auto" w:fill="FFFFFF"/>
        </w:rPr>
      </w:pPr>
      <w:r w:rsidRPr="004D5F8D">
        <w:rPr>
          <w:rFonts w:cs="Arial"/>
          <w:shd w:val="clear" w:color="auto" w:fill="FFFFFF"/>
        </w:rPr>
        <w:t>Die durchschnittliche Anzahl der Arbeitslosen belief sich im Jahr 2024 auf 2,787 Millionen Personen, was einem Anstieg von 178.000 gegenüber dem Vorjahr entspricht. Die Arbeitslosenquote erhöhte sich somit um 0,3 Prozentpunkte auf 6,0 Prozent.</w:t>
      </w:r>
      <w:r>
        <w:rPr>
          <w:rStyle w:val="Funotenzeichen"/>
          <w:rFonts w:cs="Arial"/>
          <w:shd w:val="clear" w:color="auto" w:fill="FFFFFF"/>
        </w:rPr>
        <w:footnoteReference w:id="13"/>
      </w:r>
      <w:r w:rsidRPr="004D5F8D">
        <w:rPr>
          <w:rFonts w:cs="Arial"/>
          <w:shd w:val="clear" w:color="auto" w:fill="FFFFFF"/>
        </w:rPr>
        <w:t xml:space="preserve"> </w:t>
      </w:r>
    </w:p>
    <w:p w14:paraId="6406B01C" w14:textId="6F9F212C" w:rsidR="003C090E" w:rsidRDefault="00CE5294" w:rsidP="003C090E">
      <w:pPr>
        <w:rPr>
          <w:rFonts w:cs="Arial"/>
          <w:shd w:val="clear" w:color="auto" w:fill="FFFFFF"/>
        </w:rPr>
      </w:pPr>
      <w:r w:rsidRPr="0084415B">
        <w:rPr>
          <w:rFonts w:cs="Arial"/>
          <w:shd w:val="clear" w:color="auto" w:fill="FFFFFF"/>
        </w:rPr>
        <w:t>Im Jahr 2024 setzten Unternehmen vermehrt auf konjunkturell bedingte Kurzarbeit zur Sicherung ihrer Arbeitsplätze im Vergleich zum Vorjahr. Laut</w:t>
      </w:r>
      <w:r w:rsidR="003C090E">
        <w:rPr>
          <w:rFonts w:cs="Arial"/>
          <w:shd w:val="clear" w:color="auto" w:fill="FFFFFF"/>
        </w:rPr>
        <w:t xml:space="preserve"> den aktuellen Berechnungen der </w:t>
      </w:r>
      <w:r w:rsidRPr="0084415B">
        <w:rPr>
          <w:rFonts w:cs="Arial"/>
          <w:shd w:val="clear" w:color="auto" w:fill="FFFFFF"/>
        </w:rPr>
        <w:t xml:space="preserve">Bundesagentur für Arbeit lag die durchschnittliche Zahl der Kurzarbeiter bei rund </w:t>
      </w:r>
      <w:r w:rsidR="003C090E">
        <w:rPr>
          <w:rFonts w:cs="Arial"/>
          <w:shd w:val="clear" w:color="auto" w:fill="FFFFFF"/>
        </w:rPr>
        <w:t>210.000 Personen</w:t>
      </w:r>
      <w:r w:rsidRPr="0084415B">
        <w:rPr>
          <w:rFonts w:cs="Arial"/>
          <w:shd w:val="clear" w:color="auto" w:fill="FFFFFF"/>
        </w:rPr>
        <w:t xml:space="preserve">, nach </w:t>
      </w:r>
      <w:r w:rsidR="003C090E">
        <w:rPr>
          <w:rFonts w:cs="Arial"/>
          <w:shd w:val="clear" w:color="auto" w:fill="FFFFFF"/>
        </w:rPr>
        <w:t>145</w:t>
      </w:r>
      <w:r w:rsidRPr="0084415B">
        <w:rPr>
          <w:rFonts w:cs="Arial"/>
          <w:shd w:val="clear" w:color="auto" w:fill="FFFFFF"/>
        </w:rPr>
        <w:t xml:space="preserve">.000 </w:t>
      </w:r>
      <w:r w:rsidR="003C090E">
        <w:rPr>
          <w:rFonts w:cs="Arial"/>
          <w:shd w:val="clear" w:color="auto" w:fill="FFFFFF"/>
        </w:rPr>
        <w:t xml:space="preserve">Personen </w:t>
      </w:r>
      <w:r w:rsidRPr="0084415B">
        <w:rPr>
          <w:rFonts w:cs="Arial"/>
          <w:shd w:val="clear" w:color="auto" w:fill="FFFFFF"/>
        </w:rPr>
        <w:t>im Jahr 2023.</w:t>
      </w:r>
      <w:r>
        <w:rPr>
          <w:rFonts w:cs="Arial"/>
          <w:shd w:val="clear" w:color="auto" w:fill="FFFFFF"/>
        </w:rPr>
        <w:t xml:space="preserve"> </w:t>
      </w:r>
      <w:r w:rsidR="003C090E">
        <w:rPr>
          <w:rFonts w:cs="Arial"/>
          <w:shd w:val="clear" w:color="auto" w:fill="FFFFFF"/>
        </w:rPr>
        <w:t xml:space="preserve">Die Kurzarbeiterquote, die den </w:t>
      </w:r>
      <w:r w:rsidR="003C090E" w:rsidRPr="003C090E">
        <w:rPr>
          <w:rFonts w:cs="Arial"/>
          <w:shd w:val="clear" w:color="auto" w:fill="FFFFFF"/>
        </w:rPr>
        <w:t xml:space="preserve">Anteil der </w:t>
      </w:r>
      <w:r w:rsidR="003C090E" w:rsidRPr="003C090E">
        <w:rPr>
          <w:rFonts w:cs="Arial"/>
          <w:shd w:val="clear" w:color="auto" w:fill="FFFFFF"/>
        </w:rPr>
        <w:lastRenderedPageBreak/>
        <w:t xml:space="preserve">Kurzarbeiter </w:t>
      </w:r>
      <w:proofErr w:type="gramStart"/>
      <w:r w:rsidR="003C090E" w:rsidRPr="003C090E">
        <w:rPr>
          <w:rFonts w:cs="Arial"/>
          <w:shd w:val="clear" w:color="auto" w:fill="FFFFFF"/>
        </w:rPr>
        <w:t>an den sozialversicherungspflichtig Beschäftigten</w:t>
      </w:r>
      <w:proofErr w:type="gramEnd"/>
      <w:r w:rsidR="003C090E">
        <w:rPr>
          <w:rFonts w:cs="Arial"/>
          <w:shd w:val="clear" w:color="auto" w:fill="FFFFFF"/>
        </w:rPr>
        <w:t xml:space="preserve"> darstellt, erhöhte sich von 0,4 Prozent im Jahr 2023 auf 0,6 Prozent im Jahr 2024.</w:t>
      </w:r>
      <w:r w:rsidR="003C090E">
        <w:rPr>
          <w:rStyle w:val="Funotenzeichen"/>
          <w:rFonts w:cs="Arial"/>
          <w:shd w:val="clear" w:color="auto" w:fill="FFFFFF"/>
        </w:rPr>
        <w:footnoteReference w:id="14"/>
      </w:r>
    </w:p>
    <w:p w14:paraId="76E9F551" w14:textId="1BFF2696" w:rsidR="00CE5294" w:rsidRDefault="00954CB1" w:rsidP="00CE5294">
      <w:pPr>
        <w:keepNext/>
        <w:spacing w:after="0"/>
      </w:pPr>
      <w:r>
        <w:rPr>
          <w:noProof/>
        </w:rPr>
        <w:drawing>
          <wp:inline distT="0" distB="0" distL="0" distR="0" wp14:anchorId="26781AEA" wp14:editId="65978D45">
            <wp:extent cx="5760720" cy="2997200"/>
            <wp:effectExtent l="0" t="0" r="11430" b="12700"/>
            <wp:docPr id="630814701" name="Diagramm 1">
              <a:extLst xmlns:a="http://schemas.openxmlformats.org/drawingml/2006/main">
                <a:ext uri="{FF2B5EF4-FFF2-40B4-BE49-F238E27FC236}">
                  <a16:creationId xmlns:a16="http://schemas.microsoft.com/office/drawing/2014/main" id="{E4D03C11-996F-4B6D-ACCF-ECCA23A7B5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678546F" w14:textId="10E6C5A8" w:rsidR="00CE5294" w:rsidRPr="00CE5294" w:rsidRDefault="00CE5294" w:rsidP="00CE5294">
      <w:pPr>
        <w:pStyle w:val="Beschriftung"/>
        <w:spacing w:after="200" w:line="240" w:lineRule="auto"/>
        <w:rPr>
          <w:bCs w:val="0"/>
          <w:i/>
          <w:iCs/>
          <w:color w:val="44546A" w:themeColor="text2"/>
          <w:sz w:val="18"/>
          <w:szCs w:val="18"/>
        </w:rPr>
      </w:pPr>
      <w:r w:rsidRPr="00CE5294">
        <w:rPr>
          <w:bCs w:val="0"/>
          <w:i/>
          <w:iCs/>
          <w:color w:val="44546A" w:themeColor="text2"/>
          <w:sz w:val="18"/>
          <w:szCs w:val="18"/>
        </w:rPr>
        <w:t xml:space="preserve">Abbildung </w:t>
      </w:r>
      <w:r w:rsidRPr="00CE5294">
        <w:rPr>
          <w:bCs w:val="0"/>
          <w:i/>
          <w:iCs/>
          <w:color w:val="44546A" w:themeColor="text2"/>
          <w:sz w:val="18"/>
          <w:szCs w:val="18"/>
        </w:rPr>
        <w:fldChar w:fldCharType="begin"/>
      </w:r>
      <w:r w:rsidRPr="00CE5294">
        <w:rPr>
          <w:bCs w:val="0"/>
          <w:i/>
          <w:iCs/>
          <w:color w:val="44546A" w:themeColor="text2"/>
          <w:sz w:val="18"/>
          <w:szCs w:val="18"/>
        </w:rPr>
        <w:instrText xml:space="preserve"> SEQ Abbildung \* ARABIC </w:instrText>
      </w:r>
      <w:r w:rsidRPr="00CE5294">
        <w:rPr>
          <w:bCs w:val="0"/>
          <w:i/>
          <w:iCs/>
          <w:color w:val="44546A" w:themeColor="text2"/>
          <w:sz w:val="18"/>
          <w:szCs w:val="18"/>
        </w:rPr>
        <w:fldChar w:fldCharType="separate"/>
      </w:r>
      <w:r w:rsidR="004636CC">
        <w:rPr>
          <w:bCs w:val="0"/>
          <w:i/>
          <w:iCs/>
          <w:noProof/>
          <w:color w:val="44546A" w:themeColor="text2"/>
          <w:sz w:val="18"/>
          <w:szCs w:val="18"/>
        </w:rPr>
        <w:t>1</w:t>
      </w:r>
      <w:r w:rsidRPr="00CE5294">
        <w:rPr>
          <w:bCs w:val="0"/>
          <w:i/>
          <w:iCs/>
          <w:color w:val="44546A" w:themeColor="text2"/>
          <w:sz w:val="18"/>
          <w:szCs w:val="18"/>
        </w:rPr>
        <w:fldChar w:fldCharType="end"/>
      </w:r>
      <w:r w:rsidRPr="00CE5294">
        <w:rPr>
          <w:bCs w:val="0"/>
          <w:i/>
          <w:iCs/>
          <w:color w:val="44546A" w:themeColor="text2"/>
          <w:sz w:val="18"/>
          <w:szCs w:val="18"/>
        </w:rPr>
        <w:t>: Kurzarbeitende Betriebe nach Betriebsgröße (Konjunkturelles Kurzarbeitergeld), Bundesagentur für Arbeit, 2025b</w:t>
      </w:r>
    </w:p>
    <w:p w14:paraId="2C6CD465" w14:textId="77777777" w:rsidR="00CE5294" w:rsidRDefault="00CE5294" w:rsidP="00CE5294">
      <w:pPr>
        <w:spacing w:after="0"/>
        <w:rPr>
          <w:rFonts w:cs="Arial"/>
          <w:shd w:val="clear" w:color="auto" w:fill="FFFFFF"/>
        </w:rPr>
      </w:pPr>
    </w:p>
    <w:p w14:paraId="661CFCA2" w14:textId="18126FE6" w:rsidR="00CE5294" w:rsidRPr="003A4F55" w:rsidRDefault="003C090E" w:rsidP="00CE5294">
      <w:pPr>
        <w:rPr>
          <w:rFonts w:cs="Arial"/>
        </w:rPr>
      </w:pPr>
      <w:r w:rsidRPr="003C090E">
        <w:rPr>
          <w:rFonts w:cs="Arial"/>
          <w:highlight w:val="yellow"/>
        </w:rPr>
        <w:t>Variante 1:</w:t>
      </w:r>
      <w:r>
        <w:rPr>
          <w:rFonts w:cs="Arial"/>
        </w:rPr>
        <w:t xml:space="preserve"> </w:t>
      </w:r>
      <w:r w:rsidR="00CE5294" w:rsidRPr="009538F3">
        <w:rPr>
          <w:rFonts w:cs="Arial"/>
        </w:rPr>
        <w:t xml:space="preserve">Auch </w:t>
      </w:r>
      <w:r w:rsidR="00CE5294" w:rsidRPr="00343041">
        <w:rPr>
          <w:rFonts w:cs="Arial"/>
          <w:highlight w:val="green"/>
        </w:rPr>
        <w:t>[Name des Unternehmens]</w:t>
      </w:r>
      <w:r w:rsidR="00CE5294" w:rsidRPr="009538F3">
        <w:rPr>
          <w:rFonts w:cs="Arial"/>
        </w:rPr>
        <w:t xml:space="preserve"> hat das Instrument der Kurzarbeit in 202</w:t>
      </w:r>
      <w:r w:rsidR="00CE5294">
        <w:rPr>
          <w:rFonts w:cs="Arial"/>
        </w:rPr>
        <w:t>4</w:t>
      </w:r>
      <w:r w:rsidR="00CE5294" w:rsidRPr="009538F3">
        <w:rPr>
          <w:rFonts w:cs="Arial"/>
        </w:rPr>
        <w:t xml:space="preserve"> (erneut) genutzt, um kurzfristig die Kapazitäten an </w:t>
      </w:r>
      <w:r w:rsidR="00CE5294">
        <w:rPr>
          <w:rFonts w:cs="Arial"/>
        </w:rPr>
        <w:t>die reduzierten Abrufe anzupassen.</w:t>
      </w:r>
      <w:r w:rsidR="00CE5294" w:rsidRPr="009538F3">
        <w:rPr>
          <w:rFonts w:cs="Arial"/>
        </w:rPr>
        <w:t xml:space="preserve"> So konnte während der weiterhin angespannten </w:t>
      </w:r>
      <w:r w:rsidR="00CE5294">
        <w:rPr>
          <w:rFonts w:cs="Arial"/>
        </w:rPr>
        <w:t>gesamt</w:t>
      </w:r>
      <w:r w:rsidR="00CE5294" w:rsidRPr="009538F3">
        <w:rPr>
          <w:rFonts w:cs="Arial"/>
        </w:rPr>
        <w:t>wirtschaftlichen Situation</w:t>
      </w:r>
      <w:r w:rsidR="00CE5294">
        <w:rPr>
          <w:rFonts w:cs="Arial"/>
        </w:rPr>
        <w:t xml:space="preserve"> ein</w:t>
      </w:r>
      <w:r w:rsidR="00CE5294" w:rsidRPr="009538F3">
        <w:rPr>
          <w:rFonts w:cs="Arial"/>
        </w:rPr>
        <w:t xml:space="preserve"> Arbeitsplatzabbau </w:t>
      </w:r>
      <w:r w:rsidR="00CE5294">
        <w:rPr>
          <w:rFonts w:cs="Arial"/>
        </w:rPr>
        <w:t xml:space="preserve">(weitgehend) </w:t>
      </w:r>
      <w:r w:rsidR="00CE5294" w:rsidRPr="009538F3">
        <w:rPr>
          <w:rFonts w:cs="Arial"/>
        </w:rPr>
        <w:t>verhindert</w:t>
      </w:r>
      <w:r w:rsidR="00CE5294">
        <w:rPr>
          <w:rFonts w:cs="Arial"/>
        </w:rPr>
        <w:t xml:space="preserve"> und </w:t>
      </w:r>
      <w:r w:rsidR="00CE5294" w:rsidRPr="009538F3">
        <w:rPr>
          <w:rFonts w:cs="Arial"/>
        </w:rPr>
        <w:t>gleichzeitig die notwendige Flexibilität</w:t>
      </w:r>
      <w:r w:rsidR="00CE5294">
        <w:rPr>
          <w:rFonts w:cs="Arial"/>
        </w:rPr>
        <w:t xml:space="preserve"> gewahrt werden</w:t>
      </w:r>
      <w:r w:rsidR="00CE5294" w:rsidRPr="009538F3">
        <w:rPr>
          <w:rFonts w:cs="Arial"/>
        </w:rPr>
        <w:t>, um auf etwaige Hochläufe reagieren</w:t>
      </w:r>
      <w:r w:rsidR="00CE5294">
        <w:rPr>
          <w:rFonts w:cs="Arial"/>
        </w:rPr>
        <w:t xml:space="preserve"> zu können.</w:t>
      </w:r>
    </w:p>
    <w:p w14:paraId="0114B9CF" w14:textId="7F0E8572" w:rsidR="00CE5294" w:rsidRDefault="003C090E" w:rsidP="00CE5294">
      <w:pPr>
        <w:spacing w:after="0"/>
        <w:rPr>
          <w:rFonts w:cs="Arial"/>
        </w:rPr>
      </w:pPr>
      <w:r w:rsidRPr="003C090E">
        <w:rPr>
          <w:rFonts w:cs="Arial"/>
          <w:highlight w:val="yellow"/>
        </w:rPr>
        <w:t>Variante 2:</w:t>
      </w:r>
      <w:r>
        <w:rPr>
          <w:rFonts w:cs="Arial"/>
        </w:rPr>
        <w:t xml:space="preserve"> </w:t>
      </w:r>
      <w:r w:rsidR="00CE5294" w:rsidRPr="00343041">
        <w:rPr>
          <w:rFonts w:cs="Arial"/>
        </w:rPr>
        <w:t xml:space="preserve">Auch </w:t>
      </w:r>
      <w:r w:rsidR="00CE5294" w:rsidRPr="00343041">
        <w:rPr>
          <w:rFonts w:cs="Arial"/>
          <w:highlight w:val="green"/>
        </w:rPr>
        <w:t>[Name des Unternehmens]</w:t>
      </w:r>
      <w:r w:rsidR="00CE5294" w:rsidRPr="00343041">
        <w:rPr>
          <w:rFonts w:cs="Arial"/>
        </w:rPr>
        <w:t xml:space="preserve"> hat die Mitarbeiteranzahl infolge der</w:t>
      </w:r>
      <w:r w:rsidR="00CE5294">
        <w:rPr>
          <w:rFonts w:cs="Arial"/>
        </w:rPr>
        <w:t xml:space="preserve"> gesamt</w:t>
      </w:r>
      <w:r w:rsidR="00CE5294" w:rsidRPr="00343041">
        <w:rPr>
          <w:rFonts w:cs="Arial"/>
        </w:rPr>
        <w:t xml:space="preserve">wirtschaftlichen </w:t>
      </w:r>
      <w:r w:rsidR="00CE5294">
        <w:rPr>
          <w:rFonts w:cs="Arial"/>
        </w:rPr>
        <w:t>Entwicklungen</w:t>
      </w:r>
      <w:r w:rsidR="00CE5294" w:rsidRPr="00343041">
        <w:rPr>
          <w:rFonts w:cs="Arial"/>
        </w:rPr>
        <w:t xml:space="preserve"> reduzieren müssen.</w:t>
      </w:r>
    </w:p>
    <w:p w14:paraId="42DB4B29" w14:textId="48A8923B" w:rsidR="00CE5294" w:rsidRPr="00CE5294" w:rsidRDefault="00CE5294" w:rsidP="00CE5294">
      <w:pPr>
        <w:spacing w:before="360" w:after="0"/>
        <w:rPr>
          <w:rFonts w:cs="Arial"/>
          <w:b/>
          <w:bCs/>
          <w:color w:val="1E2445"/>
        </w:rPr>
      </w:pPr>
      <w:r w:rsidRPr="00CC1739">
        <w:rPr>
          <w:rFonts w:cs="Arial"/>
          <w:b/>
          <w:bCs/>
          <w:color w:val="1E2445"/>
          <w:highlight w:val="yellow"/>
        </w:rPr>
        <w:t>Abnehmermarkt Automobilindustrie</w:t>
      </w:r>
    </w:p>
    <w:p w14:paraId="71DF34D0" w14:textId="77777777" w:rsidR="00CE5294" w:rsidRDefault="00CE5294" w:rsidP="00CE5294">
      <w:pPr>
        <w:rPr>
          <w:rFonts w:cs="Arial"/>
        </w:rPr>
      </w:pPr>
      <w:r>
        <w:rPr>
          <w:rFonts w:cs="Arial"/>
        </w:rPr>
        <w:t>Die internationalen Automobilmärkte konnten sich im Gesamtjahr 2024 vergleichsweise robust entwickeln. Wachstumsimpulse kamen dabei vor allem seitens des chinesischen Marktes. Hier stiegen die Neuzulassungen um 5,9 Prozent auf 23,0 Millionen Personenkraftwagen.</w:t>
      </w:r>
      <w:r>
        <w:rPr>
          <w:rStyle w:val="Funotenzeichen"/>
          <w:rFonts w:cs="Arial"/>
        </w:rPr>
        <w:footnoteReference w:id="15"/>
      </w:r>
      <w:r>
        <w:rPr>
          <w:rFonts w:cs="Arial"/>
        </w:rPr>
        <w:t xml:space="preserve"> Auch die westlichen Märkte entwickelten sich leicht aufwärtsgerichtet. Die Vereinigten Staaten profitierten von einer soliden gesamtwirtschaftlichen Entwicklung, sodass auch die Fahrzeugneuzulassungen um 2,2 Prozent auf 15,9 Millionen Light </w:t>
      </w:r>
      <w:proofErr w:type="spellStart"/>
      <w:r>
        <w:rPr>
          <w:rFonts w:cs="Arial"/>
        </w:rPr>
        <w:t>Vehicles</w:t>
      </w:r>
      <w:proofErr w:type="spellEnd"/>
      <w:r>
        <w:rPr>
          <w:rFonts w:cs="Arial"/>
        </w:rPr>
        <w:t xml:space="preserve"> zulegten.</w:t>
      </w:r>
      <w:r>
        <w:rPr>
          <w:rStyle w:val="Funotenzeichen"/>
          <w:rFonts w:cs="Arial"/>
        </w:rPr>
        <w:footnoteReference w:id="16"/>
      </w:r>
      <w:r>
        <w:rPr>
          <w:rFonts w:cs="Arial"/>
        </w:rPr>
        <w:t xml:space="preserve"> Trotz </w:t>
      </w:r>
      <w:proofErr w:type="gramStart"/>
      <w:r>
        <w:rPr>
          <w:rFonts w:cs="Arial"/>
        </w:rPr>
        <w:t>des Aufwärtstrend</w:t>
      </w:r>
      <w:proofErr w:type="gramEnd"/>
      <w:r>
        <w:rPr>
          <w:rFonts w:cs="Arial"/>
        </w:rPr>
        <w:t xml:space="preserve"> bewegen sich die Neuzulassungen in den Vereinigten Staaten und Europa weiterhin deutlich unter dem Vorkrisenniveau von 2019. Positiv ist hingegen die neuerliche </w:t>
      </w:r>
      <w:r>
        <w:rPr>
          <w:rFonts w:cs="Arial"/>
        </w:rPr>
        <w:lastRenderedPageBreak/>
        <w:t>Wachstumsdynamik bei den Neuzulassungen in den Schwellenländern Brasilien (+14,1 Prozent), Mexiko (+9,9 Prozent) und Indien (+4, Prozent) anzuführen.</w:t>
      </w:r>
      <w:r>
        <w:rPr>
          <w:rStyle w:val="Funotenzeichen"/>
          <w:rFonts w:cs="Arial"/>
        </w:rPr>
        <w:footnoteReference w:id="17"/>
      </w:r>
    </w:p>
    <w:p w14:paraId="2848B315" w14:textId="77777777" w:rsidR="00CE5294" w:rsidRDefault="00CE5294" w:rsidP="00CE5294">
      <w:pPr>
        <w:spacing w:after="0"/>
        <w:rPr>
          <w:rFonts w:cs="Arial"/>
        </w:rPr>
      </w:pPr>
      <w:r>
        <w:rPr>
          <w:rFonts w:cs="Arial"/>
          <w:noProof/>
        </w:rPr>
        <w:drawing>
          <wp:inline distT="0" distB="0" distL="0" distR="0" wp14:anchorId="25555132" wp14:editId="21ADE0B9">
            <wp:extent cx="5486400" cy="3200400"/>
            <wp:effectExtent l="0" t="0" r="0" b="0"/>
            <wp:docPr id="189059617" name="Diagramm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80AE73A" w14:textId="256E862C" w:rsidR="00CE5294" w:rsidRPr="00CE5294" w:rsidRDefault="00CE5294" w:rsidP="00CE5294">
      <w:pPr>
        <w:pStyle w:val="Beschriftung"/>
        <w:spacing w:after="200" w:line="240" w:lineRule="auto"/>
        <w:rPr>
          <w:bCs w:val="0"/>
          <w:i/>
          <w:iCs/>
          <w:color w:val="44546A" w:themeColor="text2"/>
          <w:sz w:val="18"/>
          <w:szCs w:val="18"/>
        </w:rPr>
      </w:pPr>
      <w:r w:rsidRPr="00CE5294">
        <w:rPr>
          <w:bCs w:val="0"/>
          <w:i/>
          <w:iCs/>
          <w:color w:val="44546A" w:themeColor="text2"/>
          <w:sz w:val="18"/>
          <w:szCs w:val="18"/>
        </w:rPr>
        <w:t xml:space="preserve">Abbildung </w:t>
      </w:r>
      <w:r w:rsidRPr="00CE5294">
        <w:rPr>
          <w:bCs w:val="0"/>
          <w:i/>
          <w:iCs/>
          <w:color w:val="44546A" w:themeColor="text2"/>
          <w:sz w:val="18"/>
          <w:szCs w:val="18"/>
        </w:rPr>
        <w:fldChar w:fldCharType="begin"/>
      </w:r>
      <w:r w:rsidRPr="00CE5294">
        <w:rPr>
          <w:bCs w:val="0"/>
          <w:i/>
          <w:iCs/>
          <w:color w:val="44546A" w:themeColor="text2"/>
          <w:sz w:val="18"/>
          <w:szCs w:val="18"/>
        </w:rPr>
        <w:instrText xml:space="preserve"> SEQ Abbildung \* ARABIC </w:instrText>
      </w:r>
      <w:r w:rsidRPr="00CE5294">
        <w:rPr>
          <w:bCs w:val="0"/>
          <w:i/>
          <w:iCs/>
          <w:color w:val="44546A" w:themeColor="text2"/>
          <w:sz w:val="18"/>
          <w:szCs w:val="18"/>
        </w:rPr>
        <w:fldChar w:fldCharType="separate"/>
      </w:r>
      <w:r w:rsidR="004636CC">
        <w:rPr>
          <w:bCs w:val="0"/>
          <w:i/>
          <w:iCs/>
          <w:noProof/>
          <w:color w:val="44546A" w:themeColor="text2"/>
          <w:sz w:val="18"/>
          <w:szCs w:val="18"/>
        </w:rPr>
        <w:t>2</w:t>
      </w:r>
      <w:r w:rsidRPr="00CE5294">
        <w:rPr>
          <w:bCs w:val="0"/>
          <w:i/>
          <w:iCs/>
          <w:color w:val="44546A" w:themeColor="text2"/>
          <w:sz w:val="18"/>
          <w:szCs w:val="18"/>
        </w:rPr>
        <w:fldChar w:fldCharType="end"/>
      </w:r>
      <w:r w:rsidRPr="00CE5294">
        <w:rPr>
          <w:bCs w:val="0"/>
          <w:i/>
          <w:iCs/>
          <w:color w:val="44546A" w:themeColor="text2"/>
          <w:sz w:val="18"/>
          <w:szCs w:val="18"/>
        </w:rPr>
        <w:t>: Absatz von Pkw und Light-Vehicle in ausgewählten Ländern und Regionen, VDA (2025a)</w:t>
      </w:r>
    </w:p>
    <w:p w14:paraId="3D8DD59D" w14:textId="15F803BF" w:rsidR="00CE5294" w:rsidRDefault="00CE5294" w:rsidP="00CE5294">
      <w:pPr>
        <w:rPr>
          <w:rFonts w:cs="Arial"/>
        </w:rPr>
      </w:pPr>
      <w:r>
        <w:rPr>
          <w:rFonts w:cs="Arial"/>
        </w:rPr>
        <w:t>Der europäische Automobilmarkt entwickelte sich im Jahr 2024 ebenfalls leicht ansteigend. So beliefen sich die Neuzulassungen in der EU auf 10,</w:t>
      </w:r>
      <w:r w:rsidR="00823AA1">
        <w:rPr>
          <w:rFonts w:cs="Arial"/>
        </w:rPr>
        <w:t>6</w:t>
      </w:r>
      <w:r>
        <w:rPr>
          <w:rFonts w:cs="Arial"/>
        </w:rPr>
        <w:t xml:space="preserve"> Millionen Fahrzeuge, was ein Plus um 0,8 Prozent im Vorjahresvergleich bedeutet.</w:t>
      </w:r>
      <w:r>
        <w:rPr>
          <w:rStyle w:val="Funotenzeichen"/>
          <w:rFonts w:cs="Arial"/>
        </w:rPr>
        <w:footnoteReference w:id="18"/>
      </w:r>
      <w:r>
        <w:rPr>
          <w:rFonts w:cs="Arial"/>
        </w:rPr>
        <w:t xml:space="preserve"> Unter den großen europäischen Märkten zeigte vor allem Spanien 2024 eine positive Entwicklung.</w:t>
      </w:r>
      <w:r>
        <w:rPr>
          <w:rStyle w:val="Funotenzeichen"/>
          <w:rFonts w:cs="Arial"/>
        </w:rPr>
        <w:footnoteReference w:id="19"/>
      </w:r>
      <w:r>
        <w:rPr>
          <w:rFonts w:cs="Arial"/>
        </w:rPr>
        <w:t xml:space="preserve"> </w:t>
      </w:r>
      <w:proofErr w:type="gramStart"/>
      <w:r>
        <w:rPr>
          <w:rFonts w:cs="Arial"/>
        </w:rPr>
        <w:t>Insgesamt</w:t>
      </w:r>
      <w:proofErr w:type="gramEnd"/>
      <w:r>
        <w:rPr>
          <w:rFonts w:cs="Arial"/>
        </w:rPr>
        <w:t xml:space="preserve"> waren Fahrzeuge mit einer klassischen Antriebstechnologie rückläufig. Sowohl die Neuzulassungen von benzinbetriebenen (-</w:t>
      </w:r>
      <w:r w:rsidR="00823AA1">
        <w:rPr>
          <w:rFonts w:cs="Arial"/>
        </w:rPr>
        <w:t>4</w:t>
      </w:r>
      <w:r>
        <w:rPr>
          <w:rFonts w:cs="Arial"/>
        </w:rPr>
        <w:t>,8 Prozent) als auch von dieselbetriebenen Modellen (-</w:t>
      </w:r>
      <w:r w:rsidR="00823AA1">
        <w:rPr>
          <w:rFonts w:cs="Arial"/>
        </w:rPr>
        <w:t>11</w:t>
      </w:r>
      <w:r>
        <w:rPr>
          <w:rFonts w:cs="Arial"/>
        </w:rPr>
        <w:t>,</w:t>
      </w:r>
      <w:r w:rsidR="00823AA1">
        <w:rPr>
          <w:rFonts w:cs="Arial"/>
        </w:rPr>
        <w:t>4</w:t>
      </w:r>
      <w:r>
        <w:rPr>
          <w:rFonts w:cs="Arial"/>
        </w:rPr>
        <w:t xml:space="preserve"> Prozent) gingen zurück.</w:t>
      </w:r>
      <w:r>
        <w:rPr>
          <w:rStyle w:val="Funotenzeichen"/>
          <w:rFonts w:cs="Arial"/>
        </w:rPr>
        <w:footnoteReference w:id="20"/>
      </w:r>
      <w:r>
        <w:rPr>
          <w:rFonts w:cs="Arial"/>
        </w:rPr>
        <w:t xml:space="preserve"> Bei den Elektrofahrzeugen zeigte sich </w:t>
      </w:r>
      <w:proofErr w:type="gramStart"/>
      <w:r>
        <w:rPr>
          <w:rFonts w:cs="Arial"/>
        </w:rPr>
        <w:t>eine differenziertes Bild</w:t>
      </w:r>
      <w:proofErr w:type="gramEnd"/>
      <w:r>
        <w:rPr>
          <w:rFonts w:cs="Arial"/>
        </w:rPr>
        <w:t xml:space="preserve">. Während hybride Modelle merklich um etwa ein </w:t>
      </w:r>
      <w:r w:rsidR="00CC1739">
        <w:rPr>
          <w:rFonts w:cs="Arial"/>
        </w:rPr>
        <w:t>Fünftel</w:t>
      </w:r>
      <w:r>
        <w:rPr>
          <w:rFonts w:cs="Arial"/>
        </w:rPr>
        <w:t xml:space="preserve"> im Vorjahresvergleich zulegen konnten, sanken die Neuzulassungen für batterieelektrische Fahrzeuge um </w:t>
      </w:r>
      <w:r w:rsidR="00CC1739">
        <w:rPr>
          <w:rFonts w:cs="Arial"/>
        </w:rPr>
        <w:t>5,9</w:t>
      </w:r>
      <w:r>
        <w:rPr>
          <w:rFonts w:cs="Arial"/>
        </w:rPr>
        <w:t xml:space="preserve"> Prozent.</w:t>
      </w:r>
      <w:r>
        <w:rPr>
          <w:rStyle w:val="Funotenzeichen"/>
          <w:rFonts w:cs="Arial"/>
        </w:rPr>
        <w:footnoteReference w:id="21"/>
      </w:r>
    </w:p>
    <w:p w14:paraId="0548CCAB" w14:textId="77777777" w:rsidR="00CE5294" w:rsidRDefault="00CE5294" w:rsidP="00CE5294">
      <w:pPr>
        <w:spacing w:after="0"/>
        <w:rPr>
          <w:rFonts w:cs="Arial"/>
        </w:rPr>
      </w:pPr>
      <w:r>
        <w:rPr>
          <w:rFonts w:cs="Arial"/>
        </w:rPr>
        <w:t>Der deutsche Automobilmarkt bestätigte den positiven weltweiten und europäischen Trend</w:t>
      </w:r>
      <w:r w:rsidRPr="00247967">
        <w:rPr>
          <w:rFonts w:cs="Arial"/>
        </w:rPr>
        <w:t xml:space="preserve"> </w:t>
      </w:r>
      <w:r>
        <w:rPr>
          <w:rFonts w:cs="Arial"/>
        </w:rPr>
        <w:t>nicht. Die Neuzulassungen lagen bei 2,8 Millionen Fahrzeugen leicht um ein Prozent unter dem Vorjahresniveau.</w:t>
      </w:r>
      <w:r>
        <w:rPr>
          <w:rStyle w:val="Funotenzeichen"/>
          <w:rFonts w:cs="Arial"/>
        </w:rPr>
        <w:footnoteReference w:id="22"/>
      </w:r>
      <w:r>
        <w:rPr>
          <w:rFonts w:cs="Arial"/>
        </w:rPr>
        <w:t xml:space="preserve"> Dabei belasteten vor allem strukturelle Herausforderungen sowie ein ausbleibender Hochlauf der Elektroindustrie die Branche.</w:t>
      </w:r>
      <w:r>
        <w:rPr>
          <w:rStyle w:val="Funotenzeichen"/>
          <w:rFonts w:cs="Arial"/>
        </w:rPr>
        <w:footnoteReference w:id="23"/>
      </w:r>
      <w:r>
        <w:rPr>
          <w:rFonts w:cs="Arial"/>
        </w:rPr>
        <w:t xml:space="preserve"> Elektrofahrzeugen machen rund ein Fünftel der gesamten Neuzulassungen aus. Sie gingen 2024 um 18 Prozent gegenüber </w:t>
      </w:r>
      <w:r>
        <w:rPr>
          <w:rFonts w:cs="Arial"/>
        </w:rPr>
        <w:lastRenderedPageBreak/>
        <w:t>dem Vorjahr zurück.</w:t>
      </w:r>
      <w:r>
        <w:rPr>
          <w:rStyle w:val="Funotenzeichen"/>
          <w:rFonts w:cs="Arial"/>
        </w:rPr>
        <w:footnoteReference w:id="24"/>
      </w:r>
      <w:r>
        <w:rPr>
          <w:rFonts w:cs="Arial"/>
        </w:rPr>
        <w:t xml:space="preserve"> Die negative Entwicklung </w:t>
      </w:r>
      <w:proofErr w:type="gramStart"/>
      <w:r>
        <w:rPr>
          <w:rFonts w:cs="Arial"/>
        </w:rPr>
        <w:t>bei batterieelektrischen Fahrzeuge</w:t>
      </w:r>
      <w:proofErr w:type="gramEnd"/>
      <w:r>
        <w:rPr>
          <w:rFonts w:cs="Arial"/>
        </w:rPr>
        <w:t xml:space="preserve"> (-27 Prozent) ist auf fehlende Kaufanreize und infrastrukturelle Herausforderungen zurückzuführen.</w:t>
      </w:r>
      <w:r>
        <w:rPr>
          <w:rStyle w:val="Funotenzeichen"/>
          <w:rFonts w:cs="Arial"/>
        </w:rPr>
        <w:footnoteReference w:id="25"/>
      </w:r>
      <w:r>
        <w:rPr>
          <w:rFonts w:cs="Arial"/>
        </w:rPr>
        <w:t xml:space="preserve"> Die Stimmungsindikatoren in der Branche zeigen eine strukturelle Krise. Das ifo Geschäftsklima für die Hersteller von Kraftwagen und Kraftwagenteile brach im Jahresverlauf weiter ein und erreichte zum Jahresende bei -35,0 Punkten einen zwischenzeitlichen Tiefpunkt.</w:t>
      </w:r>
      <w:r>
        <w:rPr>
          <w:rStyle w:val="Funotenzeichen"/>
          <w:rFonts w:cs="Arial"/>
        </w:rPr>
        <w:footnoteReference w:id="26"/>
      </w:r>
      <w:r>
        <w:rPr>
          <w:rFonts w:cs="Arial"/>
        </w:rPr>
        <w:t xml:space="preserve"> In der Folge mehrten sich die Stellenstreichungen und Werksschließungen in der Branche.</w:t>
      </w:r>
      <w:r>
        <w:rPr>
          <w:rStyle w:val="Funotenzeichen"/>
          <w:rFonts w:cs="Arial"/>
        </w:rPr>
        <w:footnoteReference w:id="27"/>
      </w:r>
      <w:r>
        <w:rPr>
          <w:rFonts w:cs="Arial"/>
        </w:rPr>
        <w:t xml:space="preserve"> Die Fahrzeugproduktion in Deutschland bewegte sich 2024 auf Vorjahresniveau. Insgesamt wurden 4,1 Millionen Fahrzeuge in Deutschland gefertigt.</w:t>
      </w:r>
      <w:r>
        <w:rPr>
          <w:rStyle w:val="Funotenzeichen"/>
          <w:rFonts w:cs="Arial"/>
        </w:rPr>
        <w:footnoteReference w:id="28"/>
      </w:r>
      <w:r>
        <w:rPr>
          <w:rFonts w:cs="Arial"/>
        </w:rPr>
        <w:t xml:space="preserve"> Das Auslandsgeschäft zeigte einen leicht positiven Trend. So erhöhten sich die Fahrzeugexporte um zwei Prozent.</w:t>
      </w:r>
      <w:r>
        <w:rPr>
          <w:rStyle w:val="Funotenzeichen"/>
          <w:rFonts w:cs="Arial"/>
        </w:rPr>
        <w:footnoteReference w:id="29"/>
      </w:r>
    </w:p>
    <w:p w14:paraId="54E06D6C" w14:textId="77777777" w:rsidR="00CE5294" w:rsidRPr="00CE5294" w:rsidRDefault="00CE5294" w:rsidP="00CE5294">
      <w:pPr>
        <w:spacing w:before="360" w:after="0"/>
        <w:rPr>
          <w:rFonts w:cs="Arial"/>
          <w:b/>
          <w:bCs/>
          <w:color w:val="1E2445"/>
        </w:rPr>
      </w:pPr>
      <w:r w:rsidRPr="00CC1739">
        <w:rPr>
          <w:rFonts w:cs="Arial"/>
          <w:b/>
          <w:bCs/>
          <w:color w:val="1E2445"/>
          <w:highlight w:val="yellow"/>
        </w:rPr>
        <w:t>Abnehmermarkt Nutzfahrzeuge</w:t>
      </w:r>
    </w:p>
    <w:p w14:paraId="40D2B601" w14:textId="42711459" w:rsidR="00CE5294" w:rsidRDefault="00CE5294" w:rsidP="00CE5294">
      <w:pPr>
        <w:rPr>
          <w:rFonts w:cs="Arial"/>
        </w:rPr>
      </w:pPr>
      <w:r>
        <w:rPr>
          <w:rFonts w:cs="Arial"/>
        </w:rPr>
        <w:t>Der europäische Nutzfahrzeugmarkt setzte seine Erholung im Jahr 2024 fort. Die Neuzulassungen stiegen um 8,3 Prozent auf 1,6 Millionen Fahrzeuge.</w:t>
      </w:r>
      <w:r>
        <w:rPr>
          <w:rStyle w:val="Funotenzeichen"/>
          <w:rFonts w:cs="Arial"/>
        </w:rPr>
        <w:footnoteReference w:id="30"/>
      </w:r>
      <w:r>
        <w:rPr>
          <w:rFonts w:cs="Arial"/>
        </w:rPr>
        <w:t xml:space="preserve"> Dabei wurden vor allem mehr Transporter und Busse zugelassen als ein Jahr zuvor. Die Neuzulassungen von LKW gaben um 6,3 Prozent nach.</w:t>
      </w:r>
      <w:r>
        <w:rPr>
          <w:rStyle w:val="Funotenzeichen"/>
          <w:rFonts w:cs="Arial"/>
        </w:rPr>
        <w:footnoteReference w:id="31"/>
      </w:r>
      <w:r>
        <w:rPr>
          <w:rFonts w:cs="Arial"/>
        </w:rPr>
        <w:t xml:space="preserve"> Hinsichtlich Transporter und LKW dominieren auch bei den Neuzulassungen weiterhin die diesel-betriebenen Antriebstechnologien. Im Bereich der Busse entfallen rund 2</w:t>
      </w:r>
      <w:r w:rsidR="00FE4A6F">
        <w:rPr>
          <w:rFonts w:cs="Arial"/>
        </w:rPr>
        <w:t>6,</w:t>
      </w:r>
      <w:r>
        <w:rPr>
          <w:rFonts w:cs="Arial"/>
        </w:rPr>
        <w:t>8 Prozent der Neufahrzeuge auf Elektro- und Hybridfahrzeuge.</w:t>
      </w:r>
      <w:r>
        <w:rPr>
          <w:rStyle w:val="Funotenzeichen"/>
          <w:rFonts w:cs="Arial"/>
        </w:rPr>
        <w:footnoteReference w:id="32"/>
      </w:r>
    </w:p>
    <w:p w14:paraId="6E9D222C" w14:textId="77777777" w:rsidR="00CE5294" w:rsidRDefault="00CE5294" w:rsidP="00CE5294">
      <w:pPr>
        <w:rPr>
          <w:rFonts w:cs="Arial"/>
        </w:rPr>
      </w:pPr>
      <w:r>
        <w:rPr>
          <w:rFonts w:cs="Arial"/>
        </w:rPr>
        <w:t>Der Nutzfahrzeugmarkt in Deutschland konnte 2024 ebenfalls moderat zulegen. Die Neuzulassungen stiegen im Vorjahresvergleich um vier Prozent auf rund 375.000 Fahrzeuge.</w:t>
      </w:r>
      <w:r>
        <w:rPr>
          <w:rStyle w:val="Funotenzeichen"/>
          <w:rFonts w:cs="Arial"/>
        </w:rPr>
        <w:footnoteReference w:id="33"/>
      </w:r>
      <w:r>
        <w:rPr>
          <w:rFonts w:cs="Arial"/>
        </w:rPr>
        <w:t xml:space="preserve"> Das Wachstum wurde jedoch ausschließlich von kleineren Fahrzeugmodellen gestützt. Während die Nutzfahrzeuge bis 6 Tonnen (289.000 Fahrzeuge) ein Wachstum um neun Prozent verzeichneten, gaben die Nutzfahrzeuge über 6 Tonnen (81.000 Fahrzeuge) um neun Prozent nach.</w:t>
      </w:r>
      <w:r>
        <w:rPr>
          <w:rStyle w:val="Funotenzeichen"/>
          <w:rFonts w:cs="Arial"/>
        </w:rPr>
        <w:footnoteReference w:id="34"/>
      </w:r>
    </w:p>
    <w:p w14:paraId="1D34DBB6" w14:textId="77777777" w:rsidR="00CE5294" w:rsidRPr="00CE5294" w:rsidRDefault="00CE5294" w:rsidP="00CE5294">
      <w:pPr>
        <w:spacing w:before="360" w:after="0"/>
        <w:rPr>
          <w:rFonts w:cs="Arial"/>
          <w:b/>
          <w:bCs/>
          <w:color w:val="1E2445"/>
        </w:rPr>
      </w:pPr>
      <w:r w:rsidRPr="00FE4A6F">
        <w:rPr>
          <w:rFonts w:cs="Arial"/>
          <w:b/>
          <w:bCs/>
          <w:color w:val="1E2445"/>
          <w:highlight w:val="yellow"/>
        </w:rPr>
        <w:t>Abnehmermarkt Maschinenbau</w:t>
      </w:r>
    </w:p>
    <w:p w14:paraId="0FDD93FC" w14:textId="77777777" w:rsidR="00CE5294" w:rsidRDefault="00CE5294" w:rsidP="00CE5294">
      <w:pPr>
        <w:spacing w:after="0"/>
        <w:rPr>
          <w:rFonts w:cs="Arial"/>
        </w:rPr>
      </w:pPr>
      <w:r>
        <w:rPr>
          <w:rFonts w:cs="Arial"/>
        </w:rPr>
        <w:t>Der Maschinenbau blickt auf ein schwaches Geschäftsjahr 2024 zurück. Investitionshemmnisse, wie politische Unsicherheiten, ein hohes Zinsniveau und strukturelle Standortherausforderungen in Deutschland, belasten die Branche auf der Absatzseite.</w:t>
      </w:r>
      <w:r>
        <w:rPr>
          <w:rStyle w:val="Funotenzeichen"/>
          <w:rFonts w:cs="Arial"/>
        </w:rPr>
        <w:footnoteReference w:id="35"/>
      </w:r>
      <w:r>
        <w:rPr>
          <w:rFonts w:cs="Arial"/>
        </w:rPr>
        <w:t xml:space="preserve"> Folglich bewertete zum Jahresende über ein Drittel der deutschen Maschinenbauer die aktuelle Geschäftslage </w:t>
      </w:r>
      <w:r>
        <w:rPr>
          <w:rFonts w:cs="Arial"/>
        </w:rPr>
        <w:lastRenderedPageBreak/>
        <w:t>schlecht bzw. sehr schlecht.</w:t>
      </w:r>
      <w:r>
        <w:rPr>
          <w:rStyle w:val="Funotenzeichen"/>
          <w:rFonts w:cs="Arial"/>
        </w:rPr>
        <w:footnoteReference w:id="36"/>
      </w:r>
      <w:r>
        <w:rPr>
          <w:rFonts w:cs="Arial"/>
        </w:rPr>
        <w:t xml:space="preserve"> </w:t>
      </w:r>
      <w:proofErr w:type="gramStart"/>
      <w:r>
        <w:rPr>
          <w:rFonts w:cs="Arial"/>
        </w:rPr>
        <w:t>Dementsprechend</w:t>
      </w:r>
      <w:proofErr w:type="gramEnd"/>
      <w:r>
        <w:rPr>
          <w:rFonts w:cs="Arial"/>
        </w:rPr>
        <w:t xml:space="preserve"> sehen die Unternehmen für das Gesamtjahr 2024 auch mehrheitlich eine rückläufige Branchenentwicklung.</w:t>
      </w:r>
      <w:r>
        <w:rPr>
          <w:rStyle w:val="Funotenzeichen"/>
          <w:rFonts w:cs="Arial"/>
        </w:rPr>
        <w:footnoteReference w:id="37"/>
      </w:r>
    </w:p>
    <w:p w14:paraId="25280A81" w14:textId="77777777" w:rsidR="00CE5294" w:rsidRDefault="00CE5294" w:rsidP="00CE5294">
      <w:pPr>
        <w:spacing w:after="0"/>
        <w:rPr>
          <w:rFonts w:cs="Arial"/>
        </w:rPr>
      </w:pPr>
      <w:r>
        <w:rPr>
          <w:rFonts w:cs="Arial"/>
          <w:noProof/>
        </w:rPr>
        <w:drawing>
          <wp:inline distT="0" distB="0" distL="0" distR="0" wp14:anchorId="68E9BB56" wp14:editId="576F2FCC">
            <wp:extent cx="5486400" cy="3200400"/>
            <wp:effectExtent l="0" t="0" r="0" b="0"/>
            <wp:docPr id="850447616" name="Diagramm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C27AB77" w14:textId="38E14E39" w:rsidR="00CE5294" w:rsidRPr="00CE5294" w:rsidRDefault="00CE5294" w:rsidP="00CE5294">
      <w:pPr>
        <w:pStyle w:val="Beschriftung"/>
        <w:spacing w:after="200" w:line="240" w:lineRule="auto"/>
        <w:rPr>
          <w:bCs w:val="0"/>
          <w:i/>
          <w:iCs/>
          <w:color w:val="44546A" w:themeColor="text2"/>
          <w:sz w:val="18"/>
          <w:szCs w:val="18"/>
        </w:rPr>
      </w:pPr>
      <w:r w:rsidRPr="00CE5294">
        <w:rPr>
          <w:bCs w:val="0"/>
          <w:i/>
          <w:iCs/>
          <w:color w:val="44546A" w:themeColor="text2"/>
          <w:sz w:val="18"/>
          <w:szCs w:val="18"/>
        </w:rPr>
        <w:t xml:space="preserve">Abbildung </w:t>
      </w:r>
      <w:r w:rsidRPr="00CE5294">
        <w:rPr>
          <w:bCs w:val="0"/>
          <w:i/>
          <w:iCs/>
          <w:color w:val="44546A" w:themeColor="text2"/>
          <w:sz w:val="18"/>
          <w:szCs w:val="18"/>
        </w:rPr>
        <w:fldChar w:fldCharType="begin"/>
      </w:r>
      <w:r w:rsidRPr="00CE5294">
        <w:rPr>
          <w:bCs w:val="0"/>
          <w:i/>
          <w:iCs/>
          <w:color w:val="44546A" w:themeColor="text2"/>
          <w:sz w:val="18"/>
          <w:szCs w:val="18"/>
        </w:rPr>
        <w:instrText xml:space="preserve"> SEQ Abbildung \* ARABIC </w:instrText>
      </w:r>
      <w:r w:rsidRPr="00CE5294">
        <w:rPr>
          <w:bCs w:val="0"/>
          <w:i/>
          <w:iCs/>
          <w:color w:val="44546A" w:themeColor="text2"/>
          <w:sz w:val="18"/>
          <w:szCs w:val="18"/>
        </w:rPr>
        <w:fldChar w:fldCharType="separate"/>
      </w:r>
      <w:r w:rsidR="004636CC">
        <w:rPr>
          <w:bCs w:val="0"/>
          <w:i/>
          <w:iCs/>
          <w:noProof/>
          <w:color w:val="44546A" w:themeColor="text2"/>
          <w:sz w:val="18"/>
          <w:szCs w:val="18"/>
        </w:rPr>
        <w:t>3</w:t>
      </w:r>
      <w:r w:rsidRPr="00CE5294">
        <w:rPr>
          <w:bCs w:val="0"/>
          <w:i/>
          <w:iCs/>
          <w:color w:val="44546A" w:themeColor="text2"/>
          <w:sz w:val="18"/>
          <w:szCs w:val="18"/>
        </w:rPr>
        <w:fldChar w:fldCharType="end"/>
      </w:r>
      <w:r w:rsidRPr="00CE5294">
        <w:rPr>
          <w:bCs w:val="0"/>
          <w:i/>
          <w:iCs/>
          <w:color w:val="44546A" w:themeColor="text2"/>
          <w:sz w:val="18"/>
          <w:szCs w:val="18"/>
        </w:rPr>
        <w:t>: Reale Produktionsleistung im Maschinenbau im Vorjahresvergleich, VDMA (2024)</w:t>
      </w:r>
    </w:p>
    <w:p w14:paraId="3DFA15CB" w14:textId="4B504628" w:rsidR="00CE5294" w:rsidRDefault="00CE5294" w:rsidP="00CE5294">
      <w:pPr>
        <w:spacing w:after="0"/>
        <w:rPr>
          <w:rFonts w:cs="Arial"/>
        </w:rPr>
      </w:pPr>
      <w:r>
        <w:rPr>
          <w:rFonts w:cs="Arial"/>
        </w:rPr>
        <w:t xml:space="preserve">Nachdem die reale Produktion im deutschen Maschinenbau bereits 2023 </w:t>
      </w:r>
      <w:proofErr w:type="gramStart"/>
      <w:r>
        <w:rPr>
          <w:rFonts w:cs="Arial"/>
        </w:rPr>
        <w:t>um einen Prozent</w:t>
      </w:r>
      <w:proofErr w:type="gramEnd"/>
      <w:r>
        <w:rPr>
          <w:rFonts w:cs="Arial"/>
        </w:rPr>
        <w:t xml:space="preserve"> zurückgegangen war, rechnet der </w:t>
      </w:r>
      <w:r w:rsidRPr="00F536D6">
        <w:rPr>
          <w:rFonts w:cs="Arial"/>
        </w:rPr>
        <w:t>Verband Deutscher Maschinen- und Anlagenbau</w:t>
      </w:r>
      <w:r>
        <w:rPr>
          <w:rFonts w:cs="Arial"/>
        </w:rPr>
        <w:t xml:space="preserve"> (VDMA) für das Jahr </w:t>
      </w:r>
      <w:r w:rsidR="00FE4A6F">
        <w:rPr>
          <w:rFonts w:cs="Arial"/>
        </w:rPr>
        <w:t xml:space="preserve">2024 </w:t>
      </w:r>
      <w:r>
        <w:rPr>
          <w:rFonts w:cs="Arial"/>
        </w:rPr>
        <w:t>mit einem Minus von acht Prozent.</w:t>
      </w:r>
      <w:r>
        <w:rPr>
          <w:rStyle w:val="Funotenzeichen"/>
          <w:rFonts w:cs="Arial"/>
        </w:rPr>
        <w:footnoteReference w:id="38"/>
      </w:r>
      <w:r>
        <w:rPr>
          <w:rFonts w:cs="Arial"/>
        </w:rPr>
        <w:t xml:space="preserve"> Der deutsche Maschinenbau ist stark exportorientiert</w:t>
      </w:r>
      <w:r w:rsidRPr="00FE4A6F">
        <w:rPr>
          <w:rFonts w:cs="Arial"/>
        </w:rPr>
        <w:t xml:space="preserve">. </w:t>
      </w:r>
      <w:r w:rsidR="00FE4A6F">
        <w:rPr>
          <w:rFonts w:cs="Arial"/>
        </w:rPr>
        <w:t xml:space="preserve">Im </w:t>
      </w:r>
      <w:r w:rsidRPr="00FE4A6F">
        <w:rPr>
          <w:rFonts w:cs="Arial"/>
        </w:rPr>
        <w:t>Jahr 2024 summierten sich die Warenexporte von Maschinen, Apparate, mechanische Geräte auf 2</w:t>
      </w:r>
      <w:r w:rsidR="008071CA">
        <w:rPr>
          <w:rFonts w:cs="Arial"/>
        </w:rPr>
        <w:t>51</w:t>
      </w:r>
      <w:r w:rsidRPr="00FE4A6F">
        <w:rPr>
          <w:rFonts w:cs="Arial"/>
        </w:rPr>
        <w:t>,</w:t>
      </w:r>
      <w:r w:rsidR="008071CA">
        <w:rPr>
          <w:rFonts w:cs="Arial"/>
        </w:rPr>
        <w:t>4</w:t>
      </w:r>
      <w:r w:rsidRPr="00FE4A6F">
        <w:rPr>
          <w:rFonts w:cs="Arial"/>
        </w:rPr>
        <w:t xml:space="preserve"> Milliarden Euro. Das waren </w:t>
      </w:r>
      <w:r w:rsidR="008071CA">
        <w:rPr>
          <w:rFonts w:cs="Arial"/>
        </w:rPr>
        <w:t>2</w:t>
      </w:r>
      <w:r w:rsidRPr="00FE4A6F">
        <w:rPr>
          <w:rFonts w:cs="Arial"/>
        </w:rPr>
        <w:t>,</w:t>
      </w:r>
      <w:r w:rsidR="008071CA">
        <w:rPr>
          <w:rFonts w:cs="Arial"/>
        </w:rPr>
        <w:t>2</w:t>
      </w:r>
      <w:r w:rsidRPr="00FE4A6F">
        <w:rPr>
          <w:rFonts w:cs="Arial"/>
        </w:rPr>
        <w:t xml:space="preserve"> Prozent weniger als im Vorjahreszeitraum.</w:t>
      </w:r>
      <w:r w:rsidRPr="00FE4A6F">
        <w:rPr>
          <w:rStyle w:val="Funotenzeichen"/>
          <w:rFonts w:cs="Arial"/>
        </w:rPr>
        <w:footnoteReference w:id="39"/>
      </w:r>
    </w:p>
    <w:p w14:paraId="3E22D9EC" w14:textId="77777777" w:rsidR="00CE5294" w:rsidRPr="00CE5294" w:rsidRDefault="00CE5294" w:rsidP="00CE5294">
      <w:pPr>
        <w:spacing w:before="360" w:after="0"/>
        <w:rPr>
          <w:rFonts w:cs="Arial"/>
          <w:b/>
          <w:bCs/>
          <w:color w:val="1E2445"/>
        </w:rPr>
      </w:pPr>
      <w:r w:rsidRPr="00A23027">
        <w:rPr>
          <w:rFonts w:cs="Arial"/>
          <w:b/>
          <w:bCs/>
          <w:color w:val="1E2445"/>
          <w:highlight w:val="yellow"/>
        </w:rPr>
        <w:t>Entwicklung in der metallumformenden Industrie</w:t>
      </w:r>
    </w:p>
    <w:p w14:paraId="5A0F1005" w14:textId="5D4C4099" w:rsidR="00CE5294" w:rsidRDefault="00CE5294" w:rsidP="00CE5294">
      <w:pPr>
        <w:spacing w:after="0"/>
        <w:rPr>
          <w:rFonts w:cs="Arial"/>
        </w:rPr>
      </w:pPr>
      <w:r>
        <w:rPr>
          <w:rFonts w:cs="Arial"/>
        </w:rPr>
        <w:t>Die gedämpfte konjunkturelle Entwicklung in den Abnehmerindustrien machte sich auch in den zuliefernden Betrieben der Metallumformung bemerkbar. Nachdem die Produktionsleistung bei den Herstellern von Schmiede-, Press-, Zieh- und Stanzteilen bereits im Jahr 2023 um 4,6 Prozent zurückgegangen war, musste das Fertigungsvolumen 2024 um weitere 8,</w:t>
      </w:r>
      <w:r w:rsidR="00C276DF">
        <w:rPr>
          <w:rFonts w:cs="Arial"/>
        </w:rPr>
        <w:t>0</w:t>
      </w:r>
      <w:r>
        <w:rPr>
          <w:rFonts w:cs="Arial"/>
        </w:rPr>
        <w:t xml:space="preserve"> Prozent gedrosselt werden.</w:t>
      </w:r>
      <w:r>
        <w:rPr>
          <w:rStyle w:val="Funotenzeichen"/>
          <w:rFonts w:cs="Arial"/>
        </w:rPr>
        <w:footnoteReference w:id="40"/>
      </w:r>
      <w:r>
        <w:rPr>
          <w:rFonts w:cs="Arial"/>
        </w:rPr>
        <w:t xml:space="preserve"> Dabei lag das Produktionsniveau durchgängig unterhalb der Vorjahresleistung.</w:t>
      </w:r>
    </w:p>
    <w:p w14:paraId="3028365F" w14:textId="77777777" w:rsidR="00CE5294" w:rsidRDefault="00CE5294" w:rsidP="00CE5294">
      <w:pPr>
        <w:spacing w:after="0"/>
        <w:rPr>
          <w:rFonts w:cs="Arial"/>
        </w:rPr>
      </w:pPr>
      <w:r>
        <w:rPr>
          <w:rFonts w:cs="Arial"/>
          <w:noProof/>
        </w:rPr>
        <w:lastRenderedPageBreak/>
        <w:drawing>
          <wp:inline distT="0" distB="0" distL="0" distR="0" wp14:anchorId="42C550F2" wp14:editId="42B39318">
            <wp:extent cx="5486400" cy="3200400"/>
            <wp:effectExtent l="0" t="0" r="0" b="0"/>
            <wp:docPr id="1873005520" name="Diagramm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1BAB52E" w14:textId="61B5508E" w:rsidR="00CE5294" w:rsidRPr="00CE5294" w:rsidRDefault="00CE5294" w:rsidP="00CE5294">
      <w:pPr>
        <w:pStyle w:val="Beschriftung"/>
        <w:spacing w:after="200" w:line="240" w:lineRule="auto"/>
        <w:rPr>
          <w:bCs w:val="0"/>
          <w:i/>
          <w:iCs/>
          <w:color w:val="44546A" w:themeColor="text2"/>
          <w:sz w:val="18"/>
          <w:szCs w:val="18"/>
        </w:rPr>
      </w:pPr>
      <w:r w:rsidRPr="00CE5294">
        <w:rPr>
          <w:bCs w:val="0"/>
          <w:i/>
          <w:iCs/>
          <w:color w:val="44546A" w:themeColor="text2"/>
          <w:sz w:val="18"/>
          <w:szCs w:val="18"/>
        </w:rPr>
        <w:t xml:space="preserve">Abbildung </w:t>
      </w:r>
      <w:r w:rsidRPr="00CE5294">
        <w:rPr>
          <w:bCs w:val="0"/>
          <w:i/>
          <w:iCs/>
          <w:color w:val="44546A" w:themeColor="text2"/>
          <w:sz w:val="18"/>
          <w:szCs w:val="18"/>
        </w:rPr>
        <w:fldChar w:fldCharType="begin"/>
      </w:r>
      <w:r w:rsidRPr="00CE5294">
        <w:rPr>
          <w:bCs w:val="0"/>
          <w:i/>
          <w:iCs/>
          <w:color w:val="44546A" w:themeColor="text2"/>
          <w:sz w:val="18"/>
          <w:szCs w:val="18"/>
        </w:rPr>
        <w:instrText xml:space="preserve"> SEQ Abbildung \* ARABIC </w:instrText>
      </w:r>
      <w:r w:rsidRPr="00CE5294">
        <w:rPr>
          <w:bCs w:val="0"/>
          <w:i/>
          <w:iCs/>
          <w:color w:val="44546A" w:themeColor="text2"/>
          <w:sz w:val="18"/>
          <w:szCs w:val="18"/>
        </w:rPr>
        <w:fldChar w:fldCharType="separate"/>
      </w:r>
      <w:r w:rsidR="004636CC">
        <w:rPr>
          <w:bCs w:val="0"/>
          <w:i/>
          <w:iCs/>
          <w:noProof/>
          <w:color w:val="44546A" w:themeColor="text2"/>
          <w:sz w:val="18"/>
          <w:szCs w:val="18"/>
        </w:rPr>
        <w:t>4</w:t>
      </w:r>
      <w:r w:rsidRPr="00CE5294">
        <w:rPr>
          <w:bCs w:val="0"/>
          <w:i/>
          <w:iCs/>
          <w:color w:val="44546A" w:themeColor="text2"/>
          <w:sz w:val="18"/>
          <w:szCs w:val="18"/>
        </w:rPr>
        <w:fldChar w:fldCharType="end"/>
      </w:r>
      <w:r w:rsidRPr="00CE5294">
        <w:rPr>
          <w:bCs w:val="0"/>
          <w:i/>
          <w:iCs/>
          <w:color w:val="44546A" w:themeColor="text2"/>
          <w:sz w:val="18"/>
          <w:szCs w:val="18"/>
        </w:rPr>
        <w:t>: Produktionsindex den Herstellern von Schmiede-, Press-, Zieh- und Stanzteilen, Destatis (2025</w:t>
      </w:r>
      <w:r w:rsidR="004739D0">
        <w:rPr>
          <w:bCs w:val="0"/>
          <w:i/>
          <w:iCs/>
          <w:color w:val="44546A" w:themeColor="text2"/>
          <w:sz w:val="18"/>
          <w:szCs w:val="18"/>
        </w:rPr>
        <w:t>d</w:t>
      </w:r>
      <w:r w:rsidRPr="00CE5294">
        <w:rPr>
          <w:bCs w:val="0"/>
          <w:i/>
          <w:iCs/>
          <w:color w:val="44546A" w:themeColor="text2"/>
          <w:sz w:val="18"/>
          <w:szCs w:val="18"/>
        </w:rPr>
        <w:t>)</w:t>
      </w:r>
    </w:p>
    <w:p w14:paraId="2BBD9FB9" w14:textId="5EFC7C2D" w:rsidR="00CE5294" w:rsidRDefault="00CE5294" w:rsidP="00CE5294">
      <w:pPr>
        <w:rPr>
          <w:rFonts w:cs="Arial"/>
        </w:rPr>
      </w:pPr>
      <w:r>
        <w:rPr>
          <w:rFonts w:cs="Arial"/>
        </w:rPr>
        <w:t>Auch der Umsatz ging in der Branche im Vorjahresvergleich zurück. Dabei erwirtschaften die Metallumformer rund zwei Drittel der Erlöse im Inland und ein Drittel durch das Exportgeschäft.</w:t>
      </w:r>
      <w:r>
        <w:rPr>
          <w:rStyle w:val="Funotenzeichen"/>
          <w:rFonts w:cs="Arial"/>
        </w:rPr>
        <w:footnoteReference w:id="41"/>
      </w:r>
      <w:r>
        <w:rPr>
          <w:rFonts w:cs="Arial"/>
        </w:rPr>
        <w:t xml:space="preserve"> </w:t>
      </w:r>
      <w:proofErr w:type="gramStart"/>
      <w:r>
        <w:rPr>
          <w:rFonts w:cs="Arial"/>
        </w:rPr>
        <w:t>Vor</w:t>
      </w:r>
      <w:proofErr w:type="gramEnd"/>
      <w:r>
        <w:rPr>
          <w:rFonts w:cs="Arial"/>
        </w:rPr>
        <w:t xml:space="preserve"> allem die schwache Auftragssituation belastet die Unternehmen. Dabei sind die Auftragseingänge im Jahresverlauf kontinuierlich weiter zurückgegangen. Die Neubestellungen gaben wertbezogen um 1</w:t>
      </w:r>
      <w:r w:rsidR="004739D0">
        <w:rPr>
          <w:rFonts w:cs="Arial"/>
        </w:rPr>
        <w:t>2</w:t>
      </w:r>
      <w:r>
        <w:rPr>
          <w:rFonts w:cs="Arial"/>
        </w:rPr>
        <w:t>,</w:t>
      </w:r>
      <w:r w:rsidR="004739D0">
        <w:rPr>
          <w:rFonts w:cs="Arial"/>
        </w:rPr>
        <w:t>8</w:t>
      </w:r>
      <w:r>
        <w:rPr>
          <w:rFonts w:cs="Arial"/>
        </w:rPr>
        <w:t xml:space="preserve"> Prozent gegenüber dem Jahr 2023 nach.</w:t>
      </w:r>
      <w:r>
        <w:rPr>
          <w:rStyle w:val="Funotenzeichen"/>
          <w:rFonts w:cs="Arial"/>
        </w:rPr>
        <w:footnoteReference w:id="42"/>
      </w:r>
      <w:r>
        <w:rPr>
          <w:rFonts w:cs="Arial"/>
        </w:rPr>
        <w:t xml:space="preserve"> Der Rückgang war im Inland noch etwas ausgeprägter als beim Auslandsgeschäft.</w:t>
      </w:r>
      <w:r>
        <w:rPr>
          <w:rStyle w:val="Funotenzeichen"/>
          <w:rFonts w:cs="Arial"/>
        </w:rPr>
        <w:footnoteReference w:id="43"/>
      </w:r>
    </w:p>
    <w:p w14:paraId="24A537C7" w14:textId="562A0ABD" w:rsidR="00CE5294" w:rsidRDefault="00CE5294" w:rsidP="00CE5294">
      <w:pPr>
        <w:spacing w:after="0"/>
        <w:rPr>
          <w:rFonts w:cs="Arial"/>
        </w:rPr>
      </w:pPr>
      <w:r>
        <w:rPr>
          <w:rFonts w:cs="Arial"/>
        </w:rPr>
        <w:t xml:space="preserve">Die Unternehmen setzen aufgrund der anhaltenden Krisensituation vermehrt Personalmaßnahmen um. So sank die Beschäftigtenzahl in der Branche </w:t>
      </w:r>
      <w:r w:rsidR="004739D0">
        <w:rPr>
          <w:rFonts w:cs="Arial"/>
        </w:rPr>
        <w:t>im Jahresverlauf</w:t>
      </w:r>
      <w:r>
        <w:rPr>
          <w:rFonts w:cs="Arial"/>
        </w:rPr>
        <w:t xml:space="preserve"> 2024 von 9</w:t>
      </w:r>
      <w:r w:rsidR="004739D0">
        <w:rPr>
          <w:rFonts w:cs="Arial"/>
        </w:rPr>
        <w:t>4</w:t>
      </w:r>
      <w:r>
        <w:rPr>
          <w:rFonts w:cs="Arial"/>
        </w:rPr>
        <w:t>.</w:t>
      </w:r>
      <w:r w:rsidR="004739D0">
        <w:rPr>
          <w:rFonts w:cs="Arial"/>
        </w:rPr>
        <w:t>6</w:t>
      </w:r>
      <w:r>
        <w:rPr>
          <w:rFonts w:cs="Arial"/>
        </w:rPr>
        <w:t xml:space="preserve">00 </w:t>
      </w:r>
      <w:r w:rsidR="004739D0">
        <w:rPr>
          <w:rFonts w:cs="Arial"/>
        </w:rPr>
        <w:t xml:space="preserve">auf 92.100 </w:t>
      </w:r>
      <w:r>
        <w:rPr>
          <w:rFonts w:cs="Arial"/>
        </w:rPr>
        <w:t>Personen.</w:t>
      </w:r>
      <w:r w:rsidR="00895220">
        <w:rPr>
          <w:rFonts w:cs="Arial"/>
        </w:rPr>
        <w:t xml:space="preserve"> Im Jahresmittel waren 4,0 Prozent weniger Beschäftigte in der Branche als im Jahr 2023.</w:t>
      </w:r>
      <w:r>
        <w:rPr>
          <w:rStyle w:val="Funotenzeichen"/>
          <w:rFonts w:cs="Arial"/>
        </w:rPr>
        <w:footnoteReference w:id="44"/>
      </w:r>
      <w:r>
        <w:rPr>
          <w:rFonts w:cs="Arial"/>
        </w:rPr>
        <w:t xml:space="preserve"> Zudem wurde vermehrt das Instrument der Kurzarbeit eingesetzt, um temporäre Auftragslücken zu überbrücken. Laut der Agentur für Arbeit stieg die Kurzarbeiterquote, die d</w:t>
      </w:r>
      <w:r w:rsidRPr="00A91194">
        <w:rPr>
          <w:rFonts w:cs="Arial"/>
        </w:rPr>
        <w:t xml:space="preserve">en Anteil der Kurzarbeiter </w:t>
      </w:r>
      <w:proofErr w:type="gramStart"/>
      <w:r w:rsidRPr="00A91194">
        <w:rPr>
          <w:rFonts w:cs="Arial"/>
        </w:rPr>
        <w:t>an den sozialversicherungspflichtig Beschäftigten</w:t>
      </w:r>
      <w:proofErr w:type="gramEnd"/>
      <w:r>
        <w:rPr>
          <w:rFonts w:cs="Arial"/>
        </w:rPr>
        <w:t xml:space="preserve"> ausweist, im Wirtschaftszweig Metall und Technik auf 4,2 Prozent im Oktober</w:t>
      </w:r>
      <w:r w:rsidR="00895220">
        <w:rPr>
          <w:rFonts w:cs="Arial"/>
        </w:rPr>
        <w:t xml:space="preserve"> und November</w:t>
      </w:r>
      <w:r>
        <w:rPr>
          <w:rFonts w:cs="Arial"/>
        </w:rPr>
        <w:t xml:space="preserve"> 2024.</w:t>
      </w:r>
      <w:r>
        <w:rPr>
          <w:rStyle w:val="Funotenzeichen"/>
          <w:rFonts w:cs="Arial"/>
        </w:rPr>
        <w:footnoteReference w:id="45"/>
      </w:r>
      <w:r>
        <w:rPr>
          <w:rFonts w:cs="Arial"/>
        </w:rPr>
        <w:t xml:space="preserve"> Auch das Geschäftsklimaindex des </w:t>
      </w:r>
      <w:r w:rsidRPr="00351A33">
        <w:rPr>
          <w:rFonts w:cs="Arial"/>
        </w:rPr>
        <w:t>Wirtschaftsverband Stahl- und Metallverarbeitung e. V.</w:t>
      </w:r>
      <w:r>
        <w:rPr>
          <w:rFonts w:cs="Arial"/>
        </w:rPr>
        <w:t xml:space="preserve"> belegt die angespannte Situation in der Branche. Der Indikator bewegte sich durchgängig im negativen Bereich und zeigte im Jahrestrend stetig nach unten. Zum Jahresende erreichte der Lageindex einen neuen Tiefststand seit dem Ausbruch der Corona-Pandemie.</w:t>
      </w:r>
      <w:r>
        <w:rPr>
          <w:rStyle w:val="Funotenzeichen"/>
          <w:rFonts w:cs="Arial"/>
        </w:rPr>
        <w:footnoteReference w:id="46"/>
      </w:r>
    </w:p>
    <w:p w14:paraId="71599047" w14:textId="77777777" w:rsidR="00CE5294" w:rsidRPr="00CE5294" w:rsidRDefault="00CE5294" w:rsidP="00CE5294">
      <w:pPr>
        <w:spacing w:before="360" w:after="0"/>
        <w:rPr>
          <w:rFonts w:cs="Arial"/>
          <w:b/>
          <w:bCs/>
          <w:color w:val="1E2445"/>
        </w:rPr>
      </w:pPr>
      <w:r w:rsidRPr="00895220">
        <w:rPr>
          <w:rFonts w:cs="Arial"/>
          <w:b/>
          <w:bCs/>
          <w:color w:val="1E2445"/>
          <w:highlight w:val="yellow"/>
        </w:rPr>
        <w:lastRenderedPageBreak/>
        <w:t>Entwicklung in der Massivumformung</w:t>
      </w:r>
    </w:p>
    <w:p w14:paraId="0613FDEE" w14:textId="4FB05E92" w:rsidR="007150AC" w:rsidRDefault="00CE5294" w:rsidP="00CE5294">
      <w:pPr>
        <w:rPr>
          <w:rFonts w:cs="Arial"/>
        </w:rPr>
      </w:pPr>
      <w:r>
        <w:rPr>
          <w:rFonts w:cs="Arial"/>
        </w:rPr>
        <w:t xml:space="preserve">Die material- und energieintensive Massivumformung ist von der konjunkturellen Schwäche sowie den strukturellen Herausforderungen am Standort Deutschland besonders betroffen. In der Folge sank die Produktionsleistung in den massivumformenden Betrieben 2024 deutlich. </w:t>
      </w:r>
      <w:r w:rsidR="00A23027">
        <w:rPr>
          <w:rFonts w:cs="Arial"/>
        </w:rPr>
        <w:t>Von Januar bis Dezember</w:t>
      </w:r>
      <w:r>
        <w:rPr>
          <w:rFonts w:cs="Arial"/>
        </w:rPr>
        <w:t xml:space="preserve"> fertigten die Freiformschmieden (-12,</w:t>
      </w:r>
      <w:r w:rsidR="00A23027">
        <w:rPr>
          <w:rFonts w:cs="Arial"/>
        </w:rPr>
        <w:t>3</w:t>
      </w:r>
      <w:r>
        <w:rPr>
          <w:rFonts w:cs="Arial"/>
        </w:rPr>
        <w:t xml:space="preserve"> Prozent) und die Gesenkschmieden (-</w:t>
      </w:r>
      <w:r w:rsidR="00A23027">
        <w:rPr>
          <w:rFonts w:cs="Arial"/>
        </w:rPr>
        <w:t>10</w:t>
      </w:r>
      <w:r>
        <w:rPr>
          <w:rFonts w:cs="Arial"/>
        </w:rPr>
        <w:t>,</w:t>
      </w:r>
      <w:r w:rsidR="00A23027">
        <w:rPr>
          <w:rFonts w:cs="Arial"/>
        </w:rPr>
        <w:t>2</w:t>
      </w:r>
      <w:r>
        <w:rPr>
          <w:rFonts w:cs="Arial"/>
        </w:rPr>
        <w:t xml:space="preserve"> Prozent) </w:t>
      </w:r>
      <w:r w:rsidR="00381DE6">
        <w:rPr>
          <w:rFonts w:cs="Arial"/>
        </w:rPr>
        <w:t xml:space="preserve">volumenbezogen </w:t>
      </w:r>
      <w:r>
        <w:rPr>
          <w:rFonts w:cs="Arial"/>
        </w:rPr>
        <w:t>deutlich weniger als ein Jahr zuvor.</w:t>
      </w:r>
      <w:r w:rsidR="007150AC">
        <w:rPr>
          <w:rFonts w:cs="Arial"/>
        </w:rPr>
        <w:t xml:space="preserve"> </w:t>
      </w:r>
      <w:r w:rsidR="00381DE6">
        <w:rPr>
          <w:rFonts w:cs="Arial"/>
        </w:rPr>
        <w:t xml:space="preserve">Wertbezogen entwickelte sich der Output </w:t>
      </w:r>
      <w:r w:rsidR="0026128D">
        <w:rPr>
          <w:rFonts w:cs="Arial"/>
        </w:rPr>
        <w:t>auch ab</w:t>
      </w:r>
      <w:r w:rsidR="00294128">
        <w:rPr>
          <w:rFonts w:cs="Arial"/>
        </w:rPr>
        <w:t>wärts</w:t>
      </w:r>
      <w:r w:rsidR="00381DE6">
        <w:rPr>
          <w:rFonts w:cs="Arial"/>
        </w:rPr>
        <w:t>gerichtet. Hier ging der Produktionswert bei den Freiformschmieden (-11,0 Prozent) und den Gesenkschmieden (-11,3 Prozent) ebenfalls mit zweistelligen Raten zurück.</w:t>
      </w:r>
      <w:r w:rsidR="00381DE6">
        <w:rPr>
          <w:rStyle w:val="Funotenzeichen"/>
          <w:rFonts w:cs="Arial"/>
        </w:rPr>
        <w:footnoteReference w:id="47"/>
      </w:r>
      <w:r w:rsidR="0026128D">
        <w:rPr>
          <w:rFonts w:cs="Arial"/>
        </w:rPr>
        <w:t xml:space="preserve"> Bei den Herstellern von Kaltfließpressteilen weist die amtliche Statistik für 2024 ein volumenbezogen ein Wachstum um 51,3 Prozent aus. Dies ist jedoch auf statistische Umgruppierungen zurückzuführen.</w:t>
      </w:r>
      <w:r w:rsidR="0026128D">
        <w:rPr>
          <w:rStyle w:val="Funotenzeichen"/>
          <w:rFonts w:cs="Arial"/>
        </w:rPr>
        <w:footnoteReference w:id="48"/>
      </w:r>
    </w:p>
    <w:p w14:paraId="613204BD" w14:textId="77777777" w:rsidR="00CE5294" w:rsidRDefault="00CE5294" w:rsidP="00CE5294">
      <w:pPr>
        <w:rPr>
          <w:rFonts w:cs="Arial"/>
        </w:rPr>
      </w:pPr>
      <w:r w:rsidRPr="00EC760B">
        <w:rPr>
          <w:rFonts w:cs="Arial"/>
          <w:noProof/>
        </w:rPr>
        <w:drawing>
          <wp:inline distT="0" distB="0" distL="0" distR="0" wp14:anchorId="4F8B3806" wp14:editId="768E1183">
            <wp:extent cx="5744166" cy="3297356"/>
            <wp:effectExtent l="0" t="0" r="9525" b="17780"/>
            <wp:docPr id="1615537841" name="Diagramm 1">
              <a:extLst xmlns:a="http://schemas.openxmlformats.org/drawingml/2006/main">
                <a:ext uri="{FF2B5EF4-FFF2-40B4-BE49-F238E27FC236}">
                  <a16:creationId xmlns:a16="http://schemas.microsoft.com/office/drawing/2014/main" id="{463D5676-0A17-DCC4-013E-09FFB74925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6ECA538" w14:textId="5120B8BD" w:rsidR="00CE5294" w:rsidRPr="00CE5294" w:rsidRDefault="00CE5294" w:rsidP="00CE5294">
      <w:pPr>
        <w:pStyle w:val="Beschriftung"/>
        <w:spacing w:after="200" w:line="240" w:lineRule="auto"/>
        <w:rPr>
          <w:bCs w:val="0"/>
          <w:i/>
          <w:iCs/>
          <w:color w:val="44546A" w:themeColor="text2"/>
          <w:sz w:val="18"/>
          <w:szCs w:val="18"/>
        </w:rPr>
      </w:pPr>
      <w:r w:rsidRPr="00CE5294">
        <w:rPr>
          <w:bCs w:val="0"/>
          <w:i/>
          <w:iCs/>
          <w:color w:val="44546A" w:themeColor="text2"/>
          <w:sz w:val="18"/>
          <w:szCs w:val="18"/>
        </w:rPr>
        <w:t xml:space="preserve">Abbildung </w:t>
      </w:r>
      <w:r w:rsidRPr="00CE5294">
        <w:rPr>
          <w:bCs w:val="0"/>
          <w:i/>
          <w:iCs/>
          <w:color w:val="44546A" w:themeColor="text2"/>
          <w:sz w:val="18"/>
          <w:szCs w:val="18"/>
        </w:rPr>
        <w:fldChar w:fldCharType="begin"/>
      </w:r>
      <w:r w:rsidRPr="00CE5294">
        <w:rPr>
          <w:bCs w:val="0"/>
          <w:i/>
          <w:iCs/>
          <w:color w:val="44546A" w:themeColor="text2"/>
          <w:sz w:val="18"/>
          <w:szCs w:val="18"/>
        </w:rPr>
        <w:instrText xml:space="preserve"> SEQ Abbildung \* ARABIC </w:instrText>
      </w:r>
      <w:r w:rsidRPr="00CE5294">
        <w:rPr>
          <w:bCs w:val="0"/>
          <w:i/>
          <w:iCs/>
          <w:color w:val="44546A" w:themeColor="text2"/>
          <w:sz w:val="18"/>
          <w:szCs w:val="18"/>
        </w:rPr>
        <w:fldChar w:fldCharType="separate"/>
      </w:r>
      <w:r w:rsidR="004636CC">
        <w:rPr>
          <w:bCs w:val="0"/>
          <w:i/>
          <w:iCs/>
          <w:noProof/>
          <w:color w:val="44546A" w:themeColor="text2"/>
          <w:sz w:val="18"/>
          <w:szCs w:val="18"/>
        </w:rPr>
        <w:t>5</w:t>
      </w:r>
      <w:r w:rsidRPr="00CE5294">
        <w:rPr>
          <w:bCs w:val="0"/>
          <w:i/>
          <w:iCs/>
          <w:color w:val="44546A" w:themeColor="text2"/>
          <w:sz w:val="18"/>
          <w:szCs w:val="18"/>
        </w:rPr>
        <w:fldChar w:fldCharType="end"/>
      </w:r>
      <w:r w:rsidRPr="00CE5294">
        <w:rPr>
          <w:bCs w:val="0"/>
          <w:i/>
          <w:iCs/>
          <w:color w:val="44546A" w:themeColor="text2"/>
          <w:sz w:val="18"/>
          <w:szCs w:val="18"/>
        </w:rPr>
        <w:t>: Reichweite der Auftragsbestände in Monate, ifo Institut (2024)</w:t>
      </w:r>
    </w:p>
    <w:p w14:paraId="63A18AC0" w14:textId="77777777" w:rsidR="00CE5294" w:rsidRDefault="00CE5294" w:rsidP="00CE5294">
      <w:pPr>
        <w:rPr>
          <w:rFonts w:cs="Arial"/>
        </w:rPr>
      </w:pPr>
      <w:r>
        <w:rPr>
          <w:rFonts w:cs="Arial"/>
        </w:rPr>
        <w:t>Durch den schwachen Auftragseingang bewegt sich die Reichweite der Auftragsbestände auf einem kritischen Niveau. Laut dem ifo-Institut sank die Reichweite der Auftragsbestände bei den Gesenkschmieden im Jahresverlauf auf 2,8 Monate.</w:t>
      </w:r>
      <w:r>
        <w:rPr>
          <w:rStyle w:val="Funotenzeichen"/>
          <w:rFonts w:cs="Arial"/>
        </w:rPr>
        <w:footnoteReference w:id="49"/>
      </w:r>
      <w:r>
        <w:rPr>
          <w:rFonts w:cs="Arial"/>
        </w:rPr>
        <w:t xml:space="preserve"> Bei den Herstellern von Freiformschmiedestücken bewegten sich die Auftragsreichweiten bei 1,7 Monaten im Jahresdurchschnitt.</w:t>
      </w:r>
      <w:r>
        <w:rPr>
          <w:rStyle w:val="Funotenzeichen"/>
          <w:rFonts w:cs="Arial"/>
        </w:rPr>
        <w:footnoteReference w:id="50"/>
      </w:r>
      <w:r>
        <w:rPr>
          <w:rFonts w:cs="Arial"/>
        </w:rPr>
        <w:t xml:space="preserve"> In der Trendauswertung des Industrieverband Massivumformung e.V. zum Jahresende bewerteten über 60 Prozent der Unternehmen den Auftragsbestand als schlecht.</w:t>
      </w:r>
      <w:r>
        <w:rPr>
          <w:rStyle w:val="Funotenzeichen"/>
          <w:rFonts w:cs="Arial"/>
        </w:rPr>
        <w:footnoteReference w:id="51"/>
      </w:r>
      <w:r>
        <w:rPr>
          <w:rFonts w:cs="Arial"/>
        </w:rPr>
        <w:t xml:space="preserve"> Das </w:t>
      </w:r>
      <w:r>
        <w:rPr>
          <w:rFonts w:cs="Arial"/>
        </w:rPr>
        <w:lastRenderedPageBreak/>
        <w:t>niedrige Auftragsniveau schlägt sich in den Kapazitätsauslastungen nieder. Diese notierten über das gesamte Jahr 2024 deutlich unter der Normalauslastung.</w:t>
      </w:r>
      <w:r>
        <w:rPr>
          <w:rStyle w:val="Funotenzeichen"/>
          <w:rFonts w:cs="Arial"/>
        </w:rPr>
        <w:footnoteReference w:id="52"/>
      </w:r>
    </w:p>
    <w:p w14:paraId="4754C9C2" w14:textId="77777777" w:rsidR="00CE5294" w:rsidRDefault="00CE5294" w:rsidP="00CE5294">
      <w:pPr>
        <w:rPr>
          <w:rFonts w:cs="Arial"/>
        </w:rPr>
      </w:pPr>
      <w:r>
        <w:rPr>
          <w:rFonts w:cs="Arial"/>
        </w:rPr>
        <w:t>Die schwache konjunkturelle Lage spiegelt sich auch in den Stimmungsindikatoren wider. Im vierten Quartal bewertete nur ein Viertel der Unternehmen die wirtschaftliche Lage positiv. 45 Prozent der Betriebe kamen zu einem negativen Urteil.</w:t>
      </w:r>
      <w:r>
        <w:rPr>
          <w:rStyle w:val="Funotenzeichen"/>
          <w:rFonts w:cs="Arial"/>
        </w:rPr>
        <w:footnoteReference w:id="53"/>
      </w:r>
      <w:r>
        <w:rPr>
          <w:rFonts w:cs="Arial"/>
        </w:rPr>
        <w:t xml:space="preserve"> Damit setzt sich die eintrübende Entwicklung der Vorquartale weiter fort. Außerdem berichteten die Unternehmen mehrheitlich von einer rückläufigen Beschäftigtenzahl.</w:t>
      </w:r>
      <w:r>
        <w:rPr>
          <w:rStyle w:val="Funotenzeichen"/>
          <w:rFonts w:cs="Arial"/>
        </w:rPr>
        <w:footnoteReference w:id="54"/>
      </w:r>
    </w:p>
    <w:p w14:paraId="1ACCE16F" w14:textId="15B59B26" w:rsidR="00CE5294" w:rsidRDefault="00CE5294" w:rsidP="00CE5294">
      <w:pPr>
        <w:rPr>
          <w:rFonts w:cs="Arial"/>
        </w:rPr>
      </w:pPr>
      <w:r>
        <w:rPr>
          <w:rFonts w:cs="Arial"/>
        </w:rPr>
        <w:t xml:space="preserve">Nachdem die Erzeugerpreise durch die Teuerungen für Energie und Material in den Vorjahren dynamisch gestiegen sind, entwickelten sich die Preise im Jahr 2024 seitwärtsgerichtet. Im Jahresmittel erhöhten sich die Erzeugerpreise für </w:t>
      </w:r>
      <w:proofErr w:type="spellStart"/>
      <w:r>
        <w:rPr>
          <w:rFonts w:cs="Arial"/>
        </w:rPr>
        <w:t>Gesenkschmiedestücke</w:t>
      </w:r>
      <w:proofErr w:type="spellEnd"/>
      <w:r>
        <w:rPr>
          <w:rFonts w:cs="Arial"/>
        </w:rPr>
        <w:t xml:space="preserve"> noch leicht um </w:t>
      </w:r>
      <w:r w:rsidR="00A23027">
        <w:rPr>
          <w:rFonts w:cs="Arial"/>
        </w:rPr>
        <w:t>1</w:t>
      </w:r>
      <w:r>
        <w:rPr>
          <w:rFonts w:cs="Arial"/>
        </w:rPr>
        <w:t>,</w:t>
      </w:r>
      <w:r w:rsidR="00A23027">
        <w:rPr>
          <w:rFonts w:cs="Arial"/>
        </w:rPr>
        <w:t>0</w:t>
      </w:r>
      <w:r>
        <w:rPr>
          <w:rFonts w:cs="Arial"/>
        </w:rPr>
        <w:t xml:space="preserve"> Prozent. Die Preise für Freiformschmiedestücke und Kaltfließpressteile gaben sogar um 1,6 Prozent nach.</w:t>
      </w:r>
      <w:r>
        <w:rPr>
          <w:rStyle w:val="Funotenzeichen"/>
          <w:rFonts w:cs="Arial"/>
        </w:rPr>
        <w:footnoteReference w:id="55"/>
      </w:r>
      <w:r>
        <w:rPr>
          <w:rFonts w:cs="Arial"/>
        </w:rPr>
        <w:t xml:space="preserve"> Die tatsächlichen Erzeugerpreise hängen jedoch von den individuellen Vertragssituationen mit Energie- und Materiallieferanten ab. </w:t>
      </w:r>
    </w:p>
    <w:p w14:paraId="3423DE55" w14:textId="77777777" w:rsidR="00CE5294" w:rsidRPr="00CE5294" w:rsidRDefault="00CE5294" w:rsidP="00CE5294">
      <w:pPr>
        <w:pStyle w:val="Listenabsatz"/>
        <w:numPr>
          <w:ilvl w:val="0"/>
          <w:numId w:val="7"/>
        </w:numPr>
        <w:spacing w:before="360" w:after="160"/>
        <w:rPr>
          <w:rFonts w:cs="Arial"/>
          <w:b/>
          <w:bCs/>
          <w:color w:val="1E2445"/>
        </w:rPr>
      </w:pPr>
      <w:r w:rsidRPr="00CE5294">
        <w:rPr>
          <w:rFonts w:cs="Arial"/>
          <w:b/>
          <w:bCs/>
          <w:color w:val="1E2445"/>
          <w:sz w:val="24"/>
          <w:szCs w:val="24"/>
        </w:rPr>
        <w:t>Geschäftsverlauf</w:t>
      </w:r>
    </w:p>
    <w:p w14:paraId="5F152B2F" w14:textId="77777777" w:rsidR="00CE5294" w:rsidRPr="00AC081E" w:rsidRDefault="00CE5294" w:rsidP="00CE5294">
      <w:pPr>
        <w:pStyle w:val="m8865788025647841653msolistparagraph"/>
        <w:shd w:val="clear" w:color="auto" w:fill="FFFFFF"/>
        <w:spacing w:before="0" w:beforeAutospacing="0" w:after="0" w:afterAutospacing="0" w:line="360" w:lineRule="auto"/>
        <w:jc w:val="both"/>
        <w:rPr>
          <w:rFonts w:ascii="Arial" w:hAnsi="Arial" w:cs="Arial"/>
          <w:color w:val="000000" w:themeColor="text1"/>
          <w:sz w:val="22"/>
          <w:szCs w:val="22"/>
        </w:rPr>
      </w:pPr>
      <w:r w:rsidRPr="00CF056D">
        <w:rPr>
          <w:rFonts w:ascii="Arial" w:hAnsi="Arial" w:cs="Arial"/>
          <w:color w:val="000000" w:themeColor="text1"/>
          <w:sz w:val="22"/>
          <w:szCs w:val="22"/>
          <w:highlight w:val="green"/>
        </w:rPr>
        <w:t>[individuelle Beschreibung durch das Unternehmen]</w:t>
      </w:r>
    </w:p>
    <w:p w14:paraId="4A26A5C8" w14:textId="0B6751D1" w:rsidR="00CE5294" w:rsidRPr="00B34D3B" w:rsidRDefault="00CE5294" w:rsidP="00CE5294">
      <w:pPr>
        <w:pStyle w:val="pf0"/>
        <w:spacing w:line="360" w:lineRule="auto"/>
        <w:rPr>
          <w:rFonts w:cs="Arial"/>
          <w:sz w:val="22"/>
          <w:szCs w:val="22"/>
        </w:rPr>
      </w:pPr>
      <w:r w:rsidRPr="008463B5">
        <w:rPr>
          <w:rFonts w:ascii="Arial" w:hAnsi="Arial" w:cs="Arial"/>
          <w:sz w:val="22"/>
          <w:szCs w:val="22"/>
        </w:rPr>
        <w:t xml:space="preserve">Die gesamtwirtschaftlichen Entwicklungen haben sich ebenso </w:t>
      </w:r>
      <w:r w:rsidRPr="00A377D4">
        <w:rPr>
          <w:rFonts w:ascii="Arial" w:hAnsi="Arial" w:cs="Arial"/>
          <w:sz w:val="22"/>
          <w:szCs w:val="22"/>
        </w:rPr>
        <w:t xml:space="preserve">auf Unternehmen </w:t>
      </w:r>
      <w:r w:rsidR="00A377D4" w:rsidRPr="00CF056D">
        <w:rPr>
          <w:rFonts w:ascii="Arial" w:hAnsi="Arial" w:cs="Arial"/>
          <w:color w:val="000000" w:themeColor="text1"/>
          <w:sz w:val="22"/>
          <w:szCs w:val="22"/>
          <w:highlight w:val="green"/>
        </w:rPr>
        <w:t xml:space="preserve">[Name des </w:t>
      </w:r>
      <w:proofErr w:type="gramStart"/>
      <w:r w:rsidR="00A377D4" w:rsidRPr="00CF056D">
        <w:rPr>
          <w:rFonts w:ascii="Arial" w:hAnsi="Arial" w:cs="Arial"/>
          <w:color w:val="000000" w:themeColor="text1"/>
          <w:sz w:val="22"/>
          <w:szCs w:val="22"/>
          <w:highlight w:val="green"/>
        </w:rPr>
        <w:t>Unternehmens]</w:t>
      </w:r>
      <w:r w:rsidR="00A377D4" w:rsidRPr="00CF056D">
        <w:rPr>
          <w:rFonts w:ascii="Arial" w:hAnsi="Arial" w:cs="Arial"/>
          <w:color w:val="000000" w:themeColor="text1"/>
          <w:sz w:val="22"/>
          <w:szCs w:val="22"/>
        </w:rPr>
        <w:t xml:space="preserve"> </w:t>
      </w:r>
      <w:r w:rsidRPr="008463B5">
        <w:rPr>
          <w:rFonts w:ascii="Arial" w:hAnsi="Arial" w:cs="Arial"/>
          <w:sz w:val="22"/>
          <w:szCs w:val="22"/>
        </w:rPr>
        <w:t xml:space="preserve"> ausgewirkt</w:t>
      </w:r>
      <w:proofErr w:type="gramEnd"/>
      <w:r w:rsidRPr="008463B5">
        <w:rPr>
          <w:rFonts w:ascii="Arial" w:hAnsi="Arial" w:cs="Arial"/>
          <w:sz w:val="22"/>
          <w:szCs w:val="22"/>
        </w:rPr>
        <w:t xml:space="preserve">. Gegenüber dem Vorjahr konnte das Geschäftsjahr mit einem </w:t>
      </w:r>
      <w:r w:rsidRPr="008463B5">
        <w:rPr>
          <w:rFonts w:ascii="Arial" w:hAnsi="Arial" w:cs="Arial"/>
          <w:sz w:val="22"/>
          <w:szCs w:val="22"/>
          <w:highlight w:val="green"/>
        </w:rPr>
        <w:t xml:space="preserve">Umsatzrückgang- / </w:t>
      </w:r>
      <w:proofErr w:type="spellStart"/>
      <w:r w:rsidRPr="008463B5">
        <w:rPr>
          <w:rFonts w:ascii="Arial" w:hAnsi="Arial" w:cs="Arial"/>
          <w:sz w:val="22"/>
          <w:szCs w:val="22"/>
          <w:highlight w:val="green"/>
        </w:rPr>
        <w:t>zuwachs</w:t>
      </w:r>
      <w:proofErr w:type="spellEnd"/>
      <w:r w:rsidRPr="008463B5">
        <w:rPr>
          <w:rFonts w:ascii="Arial" w:hAnsi="Arial" w:cs="Arial"/>
          <w:sz w:val="22"/>
          <w:szCs w:val="22"/>
          <w:highlight w:val="green"/>
        </w:rPr>
        <w:t xml:space="preserve"> in Höhe von </w:t>
      </w:r>
      <w:r w:rsidR="00A377D4">
        <w:rPr>
          <w:rFonts w:ascii="Arial" w:hAnsi="Arial" w:cs="Arial"/>
          <w:sz w:val="22"/>
          <w:szCs w:val="22"/>
          <w:highlight w:val="green"/>
        </w:rPr>
        <w:t>xx</w:t>
      </w:r>
      <w:r w:rsidRPr="008463B5">
        <w:rPr>
          <w:rFonts w:ascii="Arial" w:hAnsi="Arial" w:cs="Arial"/>
          <w:sz w:val="22"/>
          <w:szCs w:val="22"/>
          <w:highlight w:val="green"/>
        </w:rPr>
        <w:t xml:space="preserve"> </w:t>
      </w:r>
      <w:r>
        <w:rPr>
          <w:rFonts w:ascii="Arial" w:hAnsi="Arial" w:cs="Arial"/>
          <w:sz w:val="22"/>
          <w:szCs w:val="22"/>
          <w:highlight w:val="green"/>
        </w:rPr>
        <w:t>Prozent</w:t>
      </w:r>
      <w:r w:rsidRPr="008463B5">
        <w:rPr>
          <w:rFonts w:ascii="Arial" w:hAnsi="Arial" w:cs="Arial"/>
          <w:sz w:val="22"/>
          <w:szCs w:val="22"/>
        </w:rPr>
        <w:t xml:space="preserve"> abgeschlossen werden. </w:t>
      </w:r>
      <w:r w:rsidR="00A377D4">
        <w:rPr>
          <w:rFonts w:ascii="Arial" w:hAnsi="Arial" w:cs="Arial"/>
          <w:sz w:val="22"/>
          <w:szCs w:val="22"/>
        </w:rPr>
        <w:t xml:space="preserve">Dabei ist ein Geschäftsergebnis von </w:t>
      </w:r>
      <w:r w:rsidR="00A377D4" w:rsidRPr="00A377D4">
        <w:rPr>
          <w:rFonts w:ascii="Arial" w:hAnsi="Arial" w:cs="Arial"/>
          <w:sz w:val="22"/>
          <w:szCs w:val="22"/>
          <w:highlight w:val="green"/>
        </w:rPr>
        <w:t>xx</w:t>
      </w:r>
      <w:r w:rsidR="00A377D4">
        <w:rPr>
          <w:rFonts w:ascii="Arial" w:hAnsi="Arial" w:cs="Arial"/>
          <w:sz w:val="22"/>
          <w:szCs w:val="22"/>
        </w:rPr>
        <w:t xml:space="preserve"> auszuweisen.</w:t>
      </w:r>
    </w:p>
    <w:p w14:paraId="47B2BF39" w14:textId="77777777" w:rsidR="00CE5294" w:rsidRPr="00CF056D" w:rsidRDefault="00CE5294" w:rsidP="00CE5294">
      <w:pPr>
        <w:spacing w:after="0"/>
        <w:rPr>
          <w:rFonts w:cs="Arial"/>
        </w:rPr>
      </w:pPr>
      <w:r w:rsidRPr="00CF056D">
        <w:rPr>
          <w:rFonts w:cs="Arial"/>
        </w:rPr>
        <w:t xml:space="preserve">Die einzelnen Geschäftsbereiche von </w:t>
      </w:r>
      <w:r w:rsidRPr="00CF056D">
        <w:rPr>
          <w:rFonts w:cs="Arial"/>
          <w:highlight w:val="green"/>
        </w:rPr>
        <w:t>[Name des Unternehmens]</w:t>
      </w:r>
      <w:r w:rsidRPr="00CF056D">
        <w:rPr>
          <w:rFonts w:cs="Arial"/>
        </w:rPr>
        <w:t xml:space="preserve"> haben sich dabei wie folgt entwickelt:</w:t>
      </w:r>
    </w:p>
    <w:p w14:paraId="2F5ED82E" w14:textId="77777777" w:rsidR="00CE5294" w:rsidRPr="00CF056D" w:rsidRDefault="00CE5294" w:rsidP="00CE5294">
      <w:pPr>
        <w:spacing w:after="0"/>
        <w:rPr>
          <w:rFonts w:cs="Arial"/>
        </w:rPr>
      </w:pPr>
      <w:r w:rsidRPr="00CF056D">
        <w:rPr>
          <w:rFonts w:cs="Arial"/>
          <w:highlight w:val="green"/>
        </w:rPr>
        <w:t>[Geschäftsbereich 1]</w:t>
      </w:r>
    </w:p>
    <w:p w14:paraId="64983AD2" w14:textId="77777777" w:rsidR="00CE5294" w:rsidRPr="00CF056D" w:rsidRDefault="00CE5294" w:rsidP="00CE5294">
      <w:pPr>
        <w:spacing w:after="0"/>
        <w:rPr>
          <w:rFonts w:cs="Arial"/>
        </w:rPr>
      </w:pPr>
      <w:r w:rsidRPr="00CF056D">
        <w:rPr>
          <w:rFonts w:cs="Arial"/>
          <w:highlight w:val="green"/>
        </w:rPr>
        <w:t>[Geschäftsbereich 2]</w:t>
      </w:r>
    </w:p>
    <w:p w14:paraId="3F156986" w14:textId="77777777" w:rsidR="00CE5294" w:rsidRDefault="00CE5294" w:rsidP="00CE5294">
      <w:pPr>
        <w:spacing w:after="0"/>
        <w:rPr>
          <w:rFonts w:cs="Arial"/>
        </w:rPr>
      </w:pPr>
      <w:r w:rsidRPr="00CF056D">
        <w:rPr>
          <w:rFonts w:cs="Arial"/>
          <w:highlight w:val="green"/>
        </w:rPr>
        <w:t>[Geschäftsbereich 3]</w:t>
      </w:r>
    </w:p>
    <w:p w14:paraId="10E89E3B" w14:textId="77777777" w:rsidR="00CE5294" w:rsidRPr="00A377D4" w:rsidRDefault="00CE5294" w:rsidP="00A377D4">
      <w:pPr>
        <w:pStyle w:val="Listenabsatz"/>
        <w:numPr>
          <w:ilvl w:val="0"/>
          <w:numId w:val="7"/>
        </w:numPr>
        <w:spacing w:before="360" w:after="160"/>
        <w:rPr>
          <w:rFonts w:cs="Arial"/>
          <w:b/>
          <w:bCs/>
          <w:color w:val="1E2445"/>
          <w:sz w:val="24"/>
          <w:szCs w:val="24"/>
        </w:rPr>
      </w:pPr>
      <w:r w:rsidRPr="00A377D4">
        <w:rPr>
          <w:rFonts w:cs="Arial"/>
          <w:b/>
          <w:bCs/>
          <w:color w:val="1E2445"/>
          <w:sz w:val="24"/>
          <w:szCs w:val="24"/>
        </w:rPr>
        <w:t>Vermögens-, Finanz- und Ertragslage</w:t>
      </w:r>
    </w:p>
    <w:p w14:paraId="470AE55F" w14:textId="77777777" w:rsidR="00CE5294" w:rsidRPr="00AC64AB" w:rsidRDefault="00CE5294" w:rsidP="00CE5294">
      <w:pPr>
        <w:pStyle w:val="m8865788025647841653msolistparagraph"/>
        <w:shd w:val="clear" w:color="auto" w:fill="FFFFFF"/>
        <w:spacing w:before="0" w:beforeAutospacing="0" w:after="0" w:afterAutospacing="0" w:line="360" w:lineRule="auto"/>
        <w:jc w:val="both"/>
        <w:rPr>
          <w:rFonts w:ascii="Arial" w:hAnsi="Arial" w:cs="Arial"/>
          <w:color w:val="000000" w:themeColor="text1"/>
          <w:sz w:val="22"/>
          <w:szCs w:val="22"/>
        </w:rPr>
      </w:pPr>
      <w:r w:rsidRPr="00CF056D">
        <w:rPr>
          <w:rFonts w:ascii="Arial" w:hAnsi="Arial" w:cs="Arial"/>
          <w:color w:val="000000" w:themeColor="text1"/>
          <w:sz w:val="22"/>
          <w:szCs w:val="22"/>
          <w:highlight w:val="green"/>
        </w:rPr>
        <w:t>[individuelle Beschreibung durch das Unternehmen]</w:t>
      </w:r>
    </w:p>
    <w:p w14:paraId="080E403C" w14:textId="77777777" w:rsidR="00CE5294" w:rsidRPr="00A4447E" w:rsidRDefault="00CE5294" w:rsidP="00CE5294">
      <w:pPr>
        <w:spacing w:before="360" w:after="0"/>
        <w:rPr>
          <w:rFonts w:cs="Arial"/>
          <w:b/>
          <w:bCs/>
        </w:rPr>
      </w:pPr>
      <w:r w:rsidRPr="00AC64AB">
        <w:rPr>
          <w:rFonts w:cs="Arial"/>
          <w:b/>
          <w:bCs/>
        </w:rPr>
        <w:t>Vermögenslage</w:t>
      </w:r>
      <w:r w:rsidRPr="00A4447E">
        <w:rPr>
          <w:rFonts w:cs="Arial"/>
          <w:b/>
          <w:bCs/>
        </w:rPr>
        <w:t xml:space="preserve"> </w:t>
      </w:r>
    </w:p>
    <w:p w14:paraId="25C305A8" w14:textId="77777777" w:rsidR="00CE5294" w:rsidRDefault="00CE5294" w:rsidP="00CE5294">
      <w:pPr>
        <w:spacing w:after="0"/>
        <w:rPr>
          <w:rFonts w:cs="Arial"/>
        </w:rPr>
      </w:pPr>
      <w:r w:rsidRPr="00CF056D">
        <w:rPr>
          <w:rFonts w:cs="Arial"/>
        </w:rPr>
        <w:lastRenderedPageBreak/>
        <w:t xml:space="preserve">Der Bestand an Forderungen aus Lieferungen und Leistungen verringerte sich um </w:t>
      </w:r>
      <w:r w:rsidRPr="004B0C25">
        <w:rPr>
          <w:rFonts w:cs="Arial"/>
          <w:highlight w:val="green"/>
        </w:rPr>
        <w:t>xx E</w:t>
      </w:r>
      <w:r>
        <w:rPr>
          <w:rFonts w:cs="Arial"/>
          <w:highlight w:val="green"/>
        </w:rPr>
        <w:t>uro</w:t>
      </w:r>
      <w:r w:rsidRPr="00CF056D">
        <w:rPr>
          <w:rFonts w:cs="Arial"/>
        </w:rPr>
        <w:t xml:space="preserve">. Die Verbindlichkeiten aus Lieferungen und Leistungen stiegen um </w:t>
      </w:r>
      <w:r w:rsidRPr="004B0C25">
        <w:rPr>
          <w:rFonts w:cs="Arial"/>
          <w:highlight w:val="green"/>
        </w:rPr>
        <w:t>xx E</w:t>
      </w:r>
      <w:r>
        <w:rPr>
          <w:rFonts w:cs="Arial"/>
          <w:highlight w:val="green"/>
        </w:rPr>
        <w:t>uro</w:t>
      </w:r>
      <w:r w:rsidRPr="00CF056D">
        <w:rPr>
          <w:rFonts w:cs="Arial"/>
        </w:rPr>
        <w:t xml:space="preserve"> an. Der Bestand an Roh-, Hilfs- und Betriebsstoffen </w:t>
      </w:r>
      <w:r w:rsidRPr="00CF056D">
        <w:rPr>
          <w:rFonts w:cs="Arial"/>
          <w:highlight w:val="green"/>
        </w:rPr>
        <w:t>erhöhte</w:t>
      </w:r>
      <w:r w:rsidRPr="00CF056D">
        <w:rPr>
          <w:rFonts w:cs="Arial"/>
        </w:rPr>
        <w:t xml:space="preserve"> sich im Vergleich zum Vorjahr um </w:t>
      </w:r>
      <w:r w:rsidRPr="00CF056D">
        <w:rPr>
          <w:rFonts w:cs="Arial"/>
          <w:highlight w:val="green"/>
        </w:rPr>
        <w:t xml:space="preserve">xx </w:t>
      </w:r>
      <w:r>
        <w:rPr>
          <w:rFonts w:cs="Arial"/>
          <w:highlight w:val="green"/>
        </w:rPr>
        <w:t>Prozent</w:t>
      </w:r>
      <w:r w:rsidRPr="00CF056D">
        <w:rPr>
          <w:rFonts w:cs="Arial"/>
        </w:rPr>
        <w:t xml:space="preserve">. </w:t>
      </w:r>
      <w:r w:rsidRPr="008D20BD">
        <w:rPr>
          <w:rFonts w:cs="Arial"/>
          <w:highlight w:val="green"/>
        </w:rPr>
        <w:t>Die sonstigen Rückstellungen sind hauptsächlich durch Zuführungen von Verpflichtungen gegenüber Mitarbeitern angestiegen.</w:t>
      </w:r>
    </w:p>
    <w:p w14:paraId="45BCB8ED" w14:textId="77777777" w:rsidR="00CE5294" w:rsidRPr="00AC64AB" w:rsidRDefault="00CE5294" w:rsidP="00CE5294">
      <w:pPr>
        <w:spacing w:before="360" w:after="0"/>
        <w:rPr>
          <w:rFonts w:cs="Arial"/>
          <w:b/>
          <w:bCs/>
        </w:rPr>
      </w:pPr>
      <w:r w:rsidRPr="00AC64AB">
        <w:rPr>
          <w:rFonts w:cs="Arial"/>
          <w:b/>
          <w:bCs/>
        </w:rPr>
        <w:t xml:space="preserve">Finanzlage </w:t>
      </w:r>
    </w:p>
    <w:p w14:paraId="740F2D18" w14:textId="77777777" w:rsidR="00CE5294" w:rsidRPr="00CF056D" w:rsidRDefault="00CE5294" w:rsidP="00B52052">
      <w:pPr>
        <w:rPr>
          <w:rFonts w:cs="Arial"/>
        </w:rPr>
      </w:pPr>
      <w:r w:rsidRPr="00CF056D">
        <w:rPr>
          <w:rFonts w:cs="Arial"/>
        </w:rPr>
        <w:t xml:space="preserve">Das Eigenkapital von </w:t>
      </w:r>
      <w:r w:rsidRPr="00CF056D">
        <w:rPr>
          <w:rFonts w:cs="Arial"/>
          <w:highlight w:val="green"/>
        </w:rPr>
        <w:t>[Name des Unternehmens]</w:t>
      </w:r>
      <w:r w:rsidRPr="00CF056D">
        <w:rPr>
          <w:rFonts w:cs="Arial"/>
        </w:rPr>
        <w:t xml:space="preserve"> hat sich im abgelaufenen Geschäftsjahr von </w:t>
      </w:r>
      <w:r w:rsidRPr="004B0C25">
        <w:rPr>
          <w:rFonts w:cs="Arial"/>
          <w:highlight w:val="green"/>
        </w:rPr>
        <w:t>xx E</w:t>
      </w:r>
      <w:r>
        <w:rPr>
          <w:rFonts w:cs="Arial"/>
          <w:highlight w:val="green"/>
        </w:rPr>
        <w:t>uro</w:t>
      </w:r>
      <w:r w:rsidRPr="00CF056D">
        <w:rPr>
          <w:rFonts w:cs="Arial"/>
        </w:rPr>
        <w:t xml:space="preserve"> auf </w:t>
      </w:r>
      <w:r w:rsidRPr="004B0C25">
        <w:rPr>
          <w:rFonts w:cs="Arial"/>
          <w:highlight w:val="green"/>
        </w:rPr>
        <w:t>xx E</w:t>
      </w:r>
      <w:r>
        <w:rPr>
          <w:rFonts w:cs="Arial"/>
          <w:highlight w:val="green"/>
        </w:rPr>
        <w:t>uro</w:t>
      </w:r>
      <w:r>
        <w:rPr>
          <w:rFonts w:cs="Arial"/>
        </w:rPr>
        <w:t xml:space="preserve"> erhöht</w:t>
      </w:r>
      <w:r w:rsidRPr="00CF056D">
        <w:rPr>
          <w:rFonts w:cs="Arial"/>
        </w:rPr>
        <w:t xml:space="preserve">. Investitionen wurden in einem Umfang von </w:t>
      </w:r>
      <w:r w:rsidRPr="004B0C25">
        <w:rPr>
          <w:rFonts w:cs="Arial"/>
          <w:highlight w:val="green"/>
        </w:rPr>
        <w:t>xx E</w:t>
      </w:r>
      <w:r>
        <w:rPr>
          <w:rFonts w:cs="Arial"/>
          <w:highlight w:val="green"/>
        </w:rPr>
        <w:t>uro</w:t>
      </w:r>
      <w:r w:rsidRPr="00CF056D">
        <w:rPr>
          <w:rFonts w:cs="Arial"/>
        </w:rPr>
        <w:t xml:space="preserve"> getätigt. Die Anlagenzugänge betrafen hauptsächlich die Anschaffung </w:t>
      </w:r>
      <w:r w:rsidRPr="00CF056D">
        <w:rPr>
          <w:rFonts w:cs="Arial"/>
          <w:highlight w:val="green"/>
        </w:rPr>
        <w:t>neuer Maschinen sowie [weitere Investition]</w:t>
      </w:r>
      <w:r w:rsidRPr="00CF056D">
        <w:rPr>
          <w:rFonts w:cs="Arial"/>
        </w:rPr>
        <w:t xml:space="preserve">. </w:t>
      </w:r>
    </w:p>
    <w:p w14:paraId="0541D920" w14:textId="77777777" w:rsidR="00CE5294" w:rsidRPr="00CF056D" w:rsidRDefault="00CE5294" w:rsidP="00CE5294">
      <w:pPr>
        <w:spacing w:after="0"/>
        <w:rPr>
          <w:rFonts w:cs="Arial"/>
        </w:rPr>
      </w:pPr>
      <w:r w:rsidRPr="00CF056D">
        <w:rPr>
          <w:rFonts w:cs="Arial"/>
        </w:rPr>
        <w:t>Um auf die Unwägbarkeiten in</w:t>
      </w:r>
      <w:r>
        <w:rPr>
          <w:rFonts w:cs="Arial"/>
        </w:rPr>
        <w:t>f</w:t>
      </w:r>
      <w:r w:rsidRPr="00CF056D">
        <w:rPr>
          <w:rFonts w:cs="Arial"/>
        </w:rPr>
        <w:t xml:space="preserve">olge der </w:t>
      </w:r>
      <w:r>
        <w:rPr>
          <w:rFonts w:cs="Arial"/>
        </w:rPr>
        <w:t>Lieferkettenprobleme sowie der politischen Lagevo</w:t>
      </w:r>
      <w:r w:rsidRPr="00CF056D">
        <w:rPr>
          <w:rFonts w:cs="Arial"/>
        </w:rPr>
        <w:t xml:space="preserve">rbereitet zu sein, hat </w:t>
      </w:r>
      <w:r w:rsidRPr="00CF056D">
        <w:rPr>
          <w:rFonts w:cs="Arial"/>
          <w:highlight w:val="green"/>
        </w:rPr>
        <w:t>[Name des Unternehmens]</w:t>
      </w:r>
      <w:r w:rsidRPr="00CF056D">
        <w:rPr>
          <w:rFonts w:cs="Arial"/>
        </w:rPr>
        <w:t xml:space="preserve"> </w:t>
      </w:r>
      <w:r w:rsidRPr="00CF056D">
        <w:rPr>
          <w:rFonts w:cs="Arial"/>
          <w:highlight w:val="green"/>
        </w:rPr>
        <w:t>KfW-Darlehen</w:t>
      </w:r>
      <w:r w:rsidRPr="00CF056D">
        <w:rPr>
          <w:rFonts w:cs="Arial"/>
        </w:rPr>
        <w:t xml:space="preserve"> in Höhe von </w:t>
      </w:r>
      <w:r w:rsidRPr="004B0C25">
        <w:rPr>
          <w:rFonts w:cs="Arial"/>
          <w:highlight w:val="green"/>
        </w:rPr>
        <w:t>xx E</w:t>
      </w:r>
      <w:r>
        <w:rPr>
          <w:rFonts w:cs="Arial"/>
          <w:highlight w:val="green"/>
        </w:rPr>
        <w:t>uro</w:t>
      </w:r>
      <w:r w:rsidRPr="00CF056D">
        <w:rPr>
          <w:rFonts w:cs="Arial"/>
        </w:rPr>
        <w:t xml:space="preserve"> für das Jahr </w:t>
      </w:r>
      <w:r w:rsidRPr="004B0C25">
        <w:rPr>
          <w:rFonts w:cs="Arial"/>
          <w:highlight w:val="green"/>
        </w:rPr>
        <w:t>2024</w:t>
      </w:r>
      <w:r w:rsidRPr="00CF056D">
        <w:rPr>
          <w:rFonts w:cs="Arial"/>
        </w:rPr>
        <w:t xml:space="preserve"> beantragt. </w:t>
      </w:r>
      <w:r w:rsidRPr="00CF056D">
        <w:rPr>
          <w:rFonts w:cs="Arial"/>
          <w:highlight w:val="green"/>
        </w:rPr>
        <w:t xml:space="preserve">Insgesamt wurden </w:t>
      </w:r>
      <w:proofErr w:type="gramStart"/>
      <w:r w:rsidRPr="00CF056D">
        <w:rPr>
          <w:rFonts w:cs="Arial"/>
          <w:highlight w:val="green"/>
        </w:rPr>
        <w:t>in 202</w:t>
      </w:r>
      <w:r>
        <w:rPr>
          <w:rFonts w:cs="Arial"/>
          <w:highlight w:val="green"/>
        </w:rPr>
        <w:t>4</w:t>
      </w:r>
      <w:proofErr w:type="gramEnd"/>
      <w:r w:rsidRPr="00CF056D">
        <w:rPr>
          <w:rFonts w:cs="Arial"/>
          <w:highlight w:val="green"/>
        </w:rPr>
        <w:t xml:space="preserve"> Bankdarlehen zur Sicherung der Liquidität in Höhe von </w:t>
      </w:r>
      <w:r>
        <w:rPr>
          <w:rFonts w:cs="Arial"/>
          <w:highlight w:val="green"/>
        </w:rPr>
        <w:t>Euro</w:t>
      </w:r>
      <w:r w:rsidRPr="00CF056D">
        <w:rPr>
          <w:rFonts w:cs="Arial"/>
          <w:highlight w:val="green"/>
        </w:rPr>
        <w:t xml:space="preserve"> xx aufgenommen</w:t>
      </w:r>
      <w:r w:rsidRPr="00CF056D">
        <w:rPr>
          <w:rFonts w:cs="Arial"/>
        </w:rPr>
        <w:t>. Darlehenstilgungen wurden planmäßig i. H. v</w:t>
      </w:r>
      <w:r w:rsidRPr="004B0C25">
        <w:rPr>
          <w:rFonts w:cs="Arial"/>
        </w:rPr>
        <w:t xml:space="preserve">. </w:t>
      </w:r>
      <w:r w:rsidRPr="004B0C25">
        <w:rPr>
          <w:rFonts w:cs="Arial"/>
          <w:highlight w:val="green"/>
        </w:rPr>
        <w:t>xx E</w:t>
      </w:r>
      <w:r>
        <w:rPr>
          <w:rFonts w:cs="Arial"/>
          <w:highlight w:val="green"/>
        </w:rPr>
        <w:t>uro</w:t>
      </w:r>
      <w:r w:rsidRPr="00CF056D">
        <w:rPr>
          <w:rFonts w:cs="Arial"/>
        </w:rPr>
        <w:t xml:space="preserve"> vorgenommen. Die Liquiditätslage ist weiterhin zufriedenstellend. Finanzielle Engpässe liegen nicht vor.</w:t>
      </w:r>
    </w:p>
    <w:p w14:paraId="4A334736" w14:textId="77777777" w:rsidR="00CE5294" w:rsidRPr="00AC64AB" w:rsidRDefault="00CE5294" w:rsidP="00CE5294">
      <w:pPr>
        <w:spacing w:before="360" w:after="0"/>
        <w:rPr>
          <w:rFonts w:cs="Arial"/>
          <w:b/>
          <w:bCs/>
        </w:rPr>
      </w:pPr>
      <w:r w:rsidRPr="00AC64AB">
        <w:rPr>
          <w:rFonts w:cs="Arial"/>
          <w:b/>
          <w:bCs/>
        </w:rPr>
        <w:t>Ertragslage</w:t>
      </w:r>
    </w:p>
    <w:p w14:paraId="2C3FD15D" w14:textId="77777777" w:rsidR="00CE5294" w:rsidRDefault="00CE5294" w:rsidP="00B52052">
      <w:pPr>
        <w:rPr>
          <w:rFonts w:cs="Arial"/>
        </w:rPr>
      </w:pPr>
      <w:r w:rsidRPr="00CF056D">
        <w:rPr>
          <w:rFonts w:cs="Arial"/>
        </w:rPr>
        <w:t>Vor Berücksichtigung von Zinsen, Abschreibungen und Steuern konnte im Jahr 202</w:t>
      </w:r>
      <w:r>
        <w:rPr>
          <w:rFonts w:cs="Arial"/>
        </w:rPr>
        <w:t>4</w:t>
      </w:r>
      <w:r w:rsidRPr="00CF056D">
        <w:rPr>
          <w:rFonts w:cs="Arial"/>
        </w:rPr>
        <w:t xml:space="preserve"> ein Ergebnis (EBITDA) in Höhe von </w:t>
      </w:r>
      <w:r w:rsidRPr="004B0C25">
        <w:rPr>
          <w:rFonts w:cs="Arial"/>
          <w:highlight w:val="green"/>
        </w:rPr>
        <w:t>xx E</w:t>
      </w:r>
      <w:r>
        <w:rPr>
          <w:rFonts w:cs="Arial"/>
          <w:highlight w:val="green"/>
        </w:rPr>
        <w:t>uro</w:t>
      </w:r>
      <w:r w:rsidRPr="00CF056D">
        <w:rPr>
          <w:rFonts w:cs="Arial"/>
          <w:highlight w:val="green"/>
        </w:rPr>
        <w:t xml:space="preserve"> (</w:t>
      </w:r>
      <w:proofErr w:type="spellStart"/>
      <w:r w:rsidRPr="00CF056D">
        <w:rPr>
          <w:rFonts w:cs="Arial"/>
          <w:highlight w:val="green"/>
        </w:rPr>
        <w:t>Vj</w:t>
      </w:r>
      <w:proofErr w:type="spellEnd"/>
      <w:r w:rsidRPr="00CF056D">
        <w:rPr>
          <w:rFonts w:cs="Arial"/>
          <w:highlight w:val="green"/>
        </w:rPr>
        <w:t xml:space="preserve">. </w:t>
      </w:r>
      <w:r w:rsidRPr="004B0C25">
        <w:rPr>
          <w:rFonts w:cs="Arial"/>
          <w:highlight w:val="green"/>
        </w:rPr>
        <w:t>xx E</w:t>
      </w:r>
      <w:r>
        <w:rPr>
          <w:rFonts w:cs="Arial"/>
          <w:highlight w:val="green"/>
        </w:rPr>
        <w:t>uro</w:t>
      </w:r>
      <w:r w:rsidRPr="00CF056D">
        <w:rPr>
          <w:rFonts w:cs="Arial"/>
          <w:highlight w:val="green"/>
        </w:rPr>
        <w:t>)</w:t>
      </w:r>
      <w:r w:rsidRPr="00CF056D">
        <w:rPr>
          <w:rFonts w:cs="Arial"/>
        </w:rPr>
        <w:t xml:space="preserve"> ausgewiesen werden. Dies bedeutet ein </w:t>
      </w:r>
      <w:r w:rsidRPr="00AF509A">
        <w:rPr>
          <w:rFonts w:cs="Arial"/>
          <w:highlight w:val="green"/>
        </w:rPr>
        <w:t>Rückgang/eine Steigerung</w:t>
      </w:r>
      <w:r w:rsidRPr="00CF056D">
        <w:rPr>
          <w:rFonts w:cs="Arial"/>
        </w:rPr>
        <w:t xml:space="preserve"> um </w:t>
      </w:r>
      <w:r w:rsidRPr="00CF056D">
        <w:rPr>
          <w:rFonts w:cs="Arial"/>
          <w:highlight w:val="green"/>
        </w:rPr>
        <w:t xml:space="preserve">xx </w:t>
      </w:r>
      <w:r>
        <w:rPr>
          <w:rFonts w:cs="Arial"/>
          <w:highlight w:val="green"/>
        </w:rPr>
        <w:t>Prozent</w:t>
      </w:r>
      <w:r w:rsidRPr="00CF056D">
        <w:rPr>
          <w:rFonts w:cs="Arial"/>
        </w:rPr>
        <w:t xml:space="preserve"> gegenüber dem Vorjahr. Im Vorjahr entfielen allerdings </w:t>
      </w:r>
      <w:r w:rsidRPr="004B0C25">
        <w:rPr>
          <w:rFonts w:cs="Arial"/>
          <w:highlight w:val="green"/>
        </w:rPr>
        <w:t>xx E</w:t>
      </w:r>
      <w:r>
        <w:rPr>
          <w:rFonts w:cs="Arial"/>
          <w:highlight w:val="green"/>
        </w:rPr>
        <w:t>uro</w:t>
      </w:r>
      <w:r w:rsidRPr="00CF056D">
        <w:rPr>
          <w:rFonts w:cs="Arial"/>
        </w:rPr>
        <w:t xml:space="preserve"> auf </w:t>
      </w:r>
      <w:r w:rsidRPr="00CF056D">
        <w:rPr>
          <w:rFonts w:cs="Arial"/>
          <w:highlight w:val="green"/>
        </w:rPr>
        <w:t>[Besonderheit]</w:t>
      </w:r>
      <w:r w:rsidRPr="00CF056D">
        <w:rPr>
          <w:rFonts w:cs="Arial"/>
        </w:rPr>
        <w:t>, das ist im Jahr 202</w:t>
      </w:r>
      <w:r>
        <w:rPr>
          <w:rFonts w:cs="Arial"/>
        </w:rPr>
        <w:t>3</w:t>
      </w:r>
      <w:r w:rsidRPr="00CF056D">
        <w:rPr>
          <w:rFonts w:cs="Arial"/>
        </w:rPr>
        <w:t xml:space="preserve"> nicht mehr der Fall.</w:t>
      </w:r>
      <w:r w:rsidRPr="00416085">
        <w:rPr>
          <w:rFonts w:cs="Arial"/>
        </w:rPr>
        <w:t xml:space="preserve"> </w:t>
      </w:r>
    </w:p>
    <w:p w14:paraId="3111CF78" w14:textId="46773524" w:rsidR="00CE5294" w:rsidRPr="00CE5294" w:rsidRDefault="00CE5294" w:rsidP="00CE5294">
      <w:pPr>
        <w:spacing w:after="0"/>
        <w:rPr>
          <w:rFonts w:cs="Arial"/>
        </w:rPr>
      </w:pPr>
      <w:r w:rsidRPr="00CF056D">
        <w:rPr>
          <w:rFonts w:cs="Arial"/>
        </w:rPr>
        <w:t xml:space="preserve">Die Personalkostenquote konnte </w:t>
      </w:r>
      <w:r w:rsidRPr="00C82AE9">
        <w:rPr>
          <w:rFonts w:cs="Arial"/>
          <w:highlight w:val="green"/>
        </w:rPr>
        <w:t>dank der angepassten Regelungen zur Kurzarbeit</w:t>
      </w:r>
      <w:r w:rsidRPr="00CF056D">
        <w:rPr>
          <w:rFonts w:cs="Arial"/>
        </w:rPr>
        <w:t xml:space="preserve"> auf Vorjahresniveau verbleiben. </w:t>
      </w:r>
    </w:p>
    <w:p w14:paraId="1350F16F" w14:textId="77777777" w:rsidR="00CE5294" w:rsidRPr="00D10124" w:rsidRDefault="00CE5294" w:rsidP="00CE5294">
      <w:pPr>
        <w:pStyle w:val="Listenabsatz"/>
        <w:numPr>
          <w:ilvl w:val="0"/>
          <w:numId w:val="7"/>
        </w:numPr>
        <w:spacing w:before="360" w:after="0"/>
        <w:ind w:left="357" w:hanging="357"/>
        <w:jc w:val="left"/>
        <w:rPr>
          <w:rFonts w:cs="Arial"/>
          <w:b/>
          <w:bCs/>
          <w:color w:val="000000" w:themeColor="text1"/>
        </w:rPr>
      </w:pPr>
      <w:r w:rsidRPr="00D10124">
        <w:rPr>
          <w:rFonts w:eastAsia="Times New Roman" w:cs="Arial"/>
          <w:b/>
          <w:bCs/>
          <w:sz w:val="24"/>
          <w:szCs w:val="24"/>
          <w:lang w:eastAsia="de-DE"/>
        </w:rPr>
        <w:t>Finanzielle und nichtfinanzielle Leistungsindikatoren</w:t>
      </w:r>
      <w:r w:rsidRPr="00D10124">
        <w:rPr>
          <w:rFonts w:cs="Arial"/>
          <w:b/>
          <w:bCs/>
          <w:color w:val="000000" w:themeColor="text1"/>
        </w:rPr>
        <w:t xml:space="preserve"> </w:t>
      </w:r>
    </w:p>
    <w:p w14:paraId="0B0E2299" w14:textId="5615DBF1" w:rsidR="00CE5294" w:rsidRDefault="00CE5294" w:rsidP="00CE5294">
      <w:pPr>
        <w:pStyle w:val="m8865788025647841653msolistparagraph"/>
        <w:shd w:val="clear" w:color="auto" w:fill="FFFFFF"/>
        <w:spacing w:before="0" w:beforeAutospacing="0" w:after="0" w:afterAutospacing="0" w:line="360" w:lineRule="auto"/>
        <w:jc w:val="both"/>
        <w:rPr>
          <w:rFonts w:ascii="Arial" w:hAnsi="Arial" w:cs="Arial"/>
          <w:color w:val="000000" w:themeColor="text1"/>
          <w:sz w:val="22"/>
          <w:szCs w:val="22"/>
        </w:rPr>
      </w:pPr>
      <w:r w:rsidRPr="00CF056D">
        <w:rPr>
          <w:rFonts w:ascii="Arial" w:hAnsi="Arial" w:cs="Arial"/>
          <w:color w:val="000000" w:themeColor="text1"/>
          <w:sz w:val="22"/>
          <w:szCs w:val="22"/>
          <w:highlight w:val="green"/>
        </w:rPr>
        <w:t>[individuelle Beschreibung durch das Unternehmen]</w:t>
      </w:r>
    </w:p>
    <w:p w14:paraId="3851EF85" w14:textId="2E99A5BC" w:rsidR="00CE5294" w:rsidRDefault="00CE5294" w:rsidP="00CE5294">
      <w:pPr>
        <w:pStyle w:val="m8865788025647841653msolistparagraph"/>
        <w:shd w:val="clear" w:color="auto" w:fill="FFFFFF"/>
        <w:spacing w:before="0" w:beforeAutospacing="0" w:after="0" w:afterAutospacing="0" w:line="360" w:lineRule="auto"/>
        <w:jc w:val="both"/>
        <w:rPr>
          <w:rFonts w:ascii="Arial" w:hAnsi="Arial" w:cs="Arial"/>
          <w:color w:val="000000" w:themeColor="text1"/>
          <w:sz w:val="22"/>
          <w:szCs w:val="22"/>
        </w:rPr>
      </w:pPr>
      <w:r>
        <w:rPr>
          <w:rFonts w:ascii="Arial" w:hAnsi="Arial" w:cs="Arial"/>
          <w:color w:val="000000" w:themeColor="text1"/>
          <w:sz w:val="22"/>
          <w:szCs w:val="22"/>
        </w:rPr>
        <w:t xml:space="preserve">Nennung und Erläuterung (qualitativ und quantitativ) der finanziellen Leistungsindikatoren, die auch zur internen Steuerung herangezogen werden sowie der nicht finanzielle Leistungsindikatoren gem. §§289 Abs 1. S.3 </w:t>
      </w:r>
      <w:proofErr w:type="spellStart"/>
      <w:r>
        <w:rPr>
          <w:rFonts w:ascii="Arial" w:hAnsi="Arial" w:cs="Arial"/>
          <w:color w:val="000000" w:themeColor="text1"/>
          <w:sz w:val="22"/>
          <w:szCs w:val="22"/>
        </w:rPr>
        <w:t>iVm</w:t>
      </w:r>
      <w:proofErr w:type="spellEnd"/>
      <w:r>
        <w:rPr>
          <w:rFonts w:ascii="Arial" w:hAnsi="Arial" w:cs="Arial"/>
          <w:color w:val="000000" w:themeColor="text1"/>
          <w:sz w:val="22"/>
          <w:szCs w:val="22"/>
        </w:rPr>
        <w:t xml:space="preserve"> 289 Abs.3. </w:t>
      </w:r>
      <w:r w:rsidR="00AF509A" w:rsidRPr="00AF509A">
        <w:rPr>
          <w:rFonts w:ascii="Arial" w:hAnsi="Arial" w:cs="Arial"/>
          <w:color w:val="000000" w:themeColor="text1"/>
          <w:sz w:val="22"/>
          <w:szCs w:val="22"/>
        </w:rPr>
        <w:t>Falls wesentliche Veränderungen der finanziellen Leistungsindikatoren vorliegen, sind diese darzustellen und zu erläutern.</w:t>
      </w:r>
    </w:p>
    <w:p w14:paraId="4F720A12" w14:textId="77777777" w:rsidR="00CE5294" w:rsidRPr="00D10124" w:rsidRDefault="00CE5294" w:rsidP="00CE5294">
      <w:pPr>
        <w:pStyle w:val="m8865788025647841653msolistparagraph"/>
        <w:numPr>
          <w:ilvl w:val="0"/>
          <w:numId w:val="7"/>
        </w:numPr>
        <w:shd w:val="clear" w:color="auto" w:fill="FFFFFF"/>
        <w:spacing w:before="360" w:beforeAutospacing="0" w:after="0" w:afterAutospacing="0" w:line="360" w:lineRule="auto"/>
        <w:ind w:left="357" w:hanging="357"/>
        <w:jc w:val="both"/>
        <w:rPr>
          <w:rFonts w:ascii="Arial" w:hAnsi="Arial" w:cs="Arial"/>
          <w:b/>
          <w:bCs/>
          <w:color w:val="000000" w:themeColor="text1"/>
        </w:rPr>
      </w:pPr>
      <w:r w:rsidRPr="00D10124">
        <w:rPr>
          <w:rFonts w:ascii="Arial" w:hAnsi="Arial" w:cs="Arial"/>
          <w:b/>
          <w:bCs/>
          <w:color w:val="000000" w:themeColor="text1"/>
        </w:rPr>
        <w:t>Gesamtaussage</w:t>
      </w:r>
    </w:p>
    <w:p w14:paraId="64F936FE" w14:textId="77777777" w:rsidR="00CE5294" w:rsidRDefault="00CE5294" w:rsidP="00CE5294">
      <w:pPr>
        <w:pStyle w:val="m8865788025647841653msolistparagraph"/>
        <w:shd w:val="clear" w:color="auto" w:fill="FFFFFF"/>
        <w:spacing w:before="0" w:beforeAutospacing="0" w:after="0" w:afterAutospacing="0" w:line="360" w:lineRule="auto"/>
        <w:jc w:val="both"/>
        <w:rPr>
          <w:rFonts w:ascii="Arial" w:hAnsi="Arial" w:cs="Arial"/>
          <w:color w:val="000000" w:themeColor="text1"/>
          <w:sz w:val="22"/>
          <w:szCs w:val="22"/>
        </w:rPr>
      </w:pPr>
      <w:r w:rsidRPr="00CF056D">
        <w:rPr>
          <w:rFonts w:ascii="Arial" w:hAnsi="Arial" w:cs="Arial"/>
          <w:color w:val="000000" w:themeColor="text1"/>
          <w:sz w:val="22"/>
          <w:szCs w:val="22"/>
          <w:highlight w:val="green"/>
        </w:rPr>
        <w:t>[individuelle Beschreibung durch das Unternehmen]</w:t>
      </w:r>
    </w:p>
    <w:p w14:paraId="1DB82576" w14:textId="5EFFA28C" w:rsidR="00CE5294" w:rsidRPr="00CE5294" w:rsidRDefault="00CE5294" w:rsidP="00CE5294">
      <w:pPr>
        <w:pStyle w:val="m8865788025647841653msolistparagraph"/>
        <w:shd w:val="clear" w:color="auto" w:fill="FFFFFF"/>
        <w:spacing w:before="0" w:beforeAutospacing="0" w:after="0" w:afterAutospacing="0" w:line="360" w:lineRule="auto"/>
        <w:jc w:val="both"/>
        <w:rPr>
          <w:rFonts w:ascii="Arial" w:hAnsi="Arial" w:cs="Arial"/>
          <w:color w:val="000000" w:themeColor="text1"/>
          <w:sz w:val="22"/>
          <w:szCs w:val="22"/>
        </w:rPr>
      </w:pPr>
      <w:r>
        <w:rPr>
          <w:rFonts w:ascii="Arial" w:hAnsi="Arial" w:cs="Arial"/>
          <w:color w:val="000000" w:themeColor="text1"/>
          <w:sz w:val="22"/>
          <w:szCs w:val="22"/>
        </w:rPr>
        <w:t>Gesamtaussage über den Geschäftsverlauf und die Lage des Unternehmens (rückblickende Beurteilung und Erläuterung im Vergleich zum Vorjahr).</w:t>
      </w:r>
    </w:p>
    <w:p w14:paraId="602434B6" w14:textId="77777777" w:rsidR="00CE5294" w:rsidRPr="00CE5294" w:rsidRDefault="00CE5294" w:rsidP="00CE5294">
      <w:pPr>
        <w:spacing w:before="360" w:after="0"/>
        <w:rPr>
          <w:rFonts w:cs="Arial"/>
          <w:b/>
          <w:bCs/>
          <w:color w:val="1E2445"/>
          <w:sz w:val="24"/>
          <w:szCs w:val="24"/>
        </w:rPr>
      </w:pPr>
      <w:r w:rsidRPr="00CE5294">
        <w:rPr>
          <w:rFonts w:cs="Arial"/>
          <w:b/>
          <w:bCs/>
          <w:color w:val="1E2445"/>
          <w:sz w:val="24"/>
          <w:szCs w:val="24"/>
        </w:rPr>
        <w:lastRenderedPageBreak/>
        <w:t>III. Nachtragsbericht</w:t>
      </w:r>
    </w:p>
    <w:p w14:paraId="68070AEC" w14:textId="77777777" w:rsidR="00CE5294" w:rsidRPr="00415882" w:rsidRDefault="00CE5294" w:rsidP="00CE5294">
      <w:pPr>
        <w:pStyle w:val="m8865788025647841653msolistparagraph"/>
        <w:shd w:val="clear" w:color="auto" w:fill="FFFFFF"/>
        <w:spacing w:before="0" w:beforeAutospacing="0" w:after="0" w:afterAutospacing="0" w:line="360" w:lineRule="auto"/>
        <w:jc w:val="both"/>
        <w:rPr>
          <w:rFonts w:ascii="Arial" w:hAnsi="Arial" w:cs="Arial"/>
          <w:color w:val="000000" w:themeColor="text1"/>
          <w:sz w:val="22"/>
          <w:szCs w:val="22"/>
        </w:rPr>
      </w:pPr>
      <w:r w:rsidRPr="00CF056D">
        <w:rPr>
          <w:rFonts w:ascii="Arial" w:hAnsi="Arial" w:cs="Arial"/>
          <w:color w:val="000000" w:themeColor="text1"/>
          <w:sz w:val="22"/>
          <w:szCs w:val="22"/>
          <w:highlight w:val="green"/>
        </w:rPr>
        <w:t>[individuelle Beschreibung durch das Unternehmen]</w:t>
      </w:r>
    </w:p>
    <w:p w14:paraId="7C4993AB" w14:textId="252CB457" w:rsidR="00CE5294" w:rsidRPr="00CE5294" w:rsidRDefault="00CE5294" w:rsidP="00CE5294">
      <w:pPr>
        <w:spacing w:after="0"/>
        <w:rPr>
          <w:szCs w:val="24"/>
        </w:rPr>
      </w:pPr>
      <w:r>
        <w:rPr>
          <w:szCs w:val="24"/>
        </w:rPr>
        <w:t>Erläuterung von Vorgängen, welche</w:t>
      </w:r>
      <w:r w:rsidRPr="00D10124">
        <w:rPr>
          <w:szCs w:val="24"/>
        </w:rPr>
        <w:t xml:space="preserve"> von besonderer Bedeutung</w:t>
      </w:r>
      <w:r>
        <w:rPr>
          <w:szCs w:val="24"/>
        </w:rPr>
        <w:t xml:space="preserve"> sind</w:t>
      </w:r>
      <w:r w:rsidRPr="00D10124">
        <w:rPr>
          <w:szCs w:val="24"/>
        </w:rPr>
        <w:t>, die nach dem Schluss des Berichtszeitraums eingetreten sind</w:t>
      </w:r>
      <w:r>
        <w:rPr>
          <w:szCs w:val="24"/>
        </w:rPr>
        <w:t>. E</w:t>
      </w:r>
      <w:r w:rsidRPr="00D10124">
        <w:rPr>
          <w:szCs w:val="24"/>
        </w:rPr>
        <w:t xml:space="preserve">rwarteten Auswirkungen auf die Vermögens-, Finanz- und Ertragslage sind darzustellen und zu erläutern. Auf ihren Eintritt nach Schluss des Berichtszeitraums ist gesondert hinzuweisen. Sind keine solchen Vorgängen eingetreten, ist dies </w:t>
      </w:r>
      <w:r>
        <w:rPr>
          <w:szCs w:val="24"/>
        </w:rPr>
        <w:t xml:space="preserve">ebenfalls </w:t>
      </w:r>
      <w:r w:rsidRPr="00D10124">
        <w:rPr>
          <w:szCs w:val="24"/>
        </w:rPr>
        <w:t>anzugeben.</w:t>
      </w:r>
    </w:p>
    <w:p w14:paraId="2DB2F2F2" w14:textId="77777777" w:rsidR="00CE5294" w:rsidRPr="00CE5294" w:rsidRDefault="00CE5294" w:rsidP="00CE5294">
      <w:pPr>
        <w:spacing w:before="360" w:after="0"/>
        <w:rPr>
          <w:rFonts w:cs="Arial"/>
          <w:b/>
          <w:bCs/>
          <w:color w:val="1E2445"/>
          <w:sz w:val="24"/>
          <w:szCs w:val="24"/>
        </w:rPr>
      </w:pPr>
      <w:r w:rsidRPr="00CE5294">
        <w:rPr>
          <w:rFonts w:cs="Arial"/>
          <w:b/>
          <w:bCs/>
          <w:color w:val="1E2445"/>
          <w:sz w:val="24"/>
          <w:szCs w:val="24"/>
        </w:rPr>
        <w:t xml:space="preserve">IV. Prognosebericht </w:t>
      </w:r>
    </w:p>
    <w:p w14:paraId="451EF013" w14:textId="1395851A" w:rsidR="00CE5294" w:rsidRDefault="00CE5294" w:rsidP="00CE5294">
      <w:pPr>
        <w:rPr>
          <w:rFonts w:cs="Arial"/>
        </w:rPr>
      </w:pPr>
      <w:r>
        <w:rPr>
          <w:rFonts w:cs="Arial"/>
        </w:rPr>
        <w:t>Die Weltwirtschaft soll sich auch in den kommenden Jahren mit stabiler Dynamik weiterentwickeln. Sowohl für das Jahr 2025 als auch für das Jahr 2026 erwartet der Internationale Währungsfonds ein globales Wirtschaftswachstum um 3,3 Prozent.</w:t>
      </w:r>
      <w:r>
        <w:rPr>
          <w:rStyle w:val="Funotenzeichen"/>
          <w:rFonts w:cs="Arial"/>
        </w:rPr>
        <w:footnoteReference w:id="56"/>
      </w:r>
      <w:r>
        <w:rPr>
          <w:rFonts w:cs="Arial"/>
        </w:rPr>
        <w:t xml:space="preserve"> Die Weltwirtschaft wird weiterhin von restriktiven Maßnahmen zur Bekämpfung der Inflation geprägt. Sollten die Teuerungsraten weiter zurückgehen, sind im Jahr 2025 zusätzliche Lockerungen zu erwarten.</w:t>
      </w:r>
      <w:r>
        <w:rPr>
          <w:rStyle w:val="Funotenzeichen"/>
          <w:rFonts w:cs="Arial"/>
        </w:rPr>
        <w:footnoteReference w:id="57"/>
      </w:r>
      <w:r w:rsidR="00EF0F30">
        <w:rPr>
          <w:rFonts w:cs="Arial"/>
        </w:rPr>
        <w:t xml:space="preserve"> </w:t>
      </w:r>
      <w:proofErr w:type="gramStart"/>
      <w:r w:rsidR="00EF0F30">
        <w:rPr>
          <w:rFonts w:cs="Arial"/>
        </w:rPr>
        <w:t>Abhängig</w:t>
      </w:r>
      <w:proofErr w:type="gramEnd"/>
      <w:r w:rsidR="00EF0F30">
        <w:rPr>
          <w:rFonts w:cs="Arial"/>
        </w:rPr>
        <w:t xml:space="preserve"> von zusätzlichen Handelszöllen seitens der US-Administration und möglichen globalen Gegenmaßnahmen, droht jedoch ein weltweiter wirtschaftlicher Einbruch.</w:t>
      </w:r>
      <w:r w:rsidR="00EF0F30">
        <w:rPr>
          <w:rStyle w:val="Funotenzeichen"/>
          <w:rFonts w:cs="Arial"/>
        </w:rPr>
        <w:footnoteReference w:id="58"/>
      </w:r>
    </w:p>
    <w:p w14:paraId="4EECF1A7" w14:textId="77777777" w:rsidR="00CE5294" w:rsidRDefault="00CE5294" w:rsidP="00CE5294">
      <w:pPr>
        <w:rPr>
          <w:rFonts w:cs="Arial"/>
        </w:rPr>
      </w:pPr>
      <w:r>
        <w:rPr>
          <w:rFonts w:cs="Arial"/>
        </w:rPr>
        <w:t xml:space="preserve">Wirtschaftlicher Wachstumstreiber bleiben in den kommenden Jahren Schwellen- und Entwicklungsländer. Während für Indien ein weiterhin robustes Wachstum um 6,5 Prozent prognostiziert wird, schwächt sich in China die Wachstumsdynamik leicht ab. Hier geht der Internationale Währungsfonds von Wachstumsraten von 4,6 Prozent </w:t>
      </w:r>
      <w:proofErr w:type="gramStart"/>
      <w:r>
        <w:rPr>
          <w:rFonts w:cs="Arial"/>
        </w:rPr>
        <w:t>in 2025</w:t>
      </w:r>
      <w:proofErr w:type="gramEnd"/>
      <w:r>
        <w:rPr>
          <w:rFonts w:cs="Arial"/>
        </w:rPr>
        <w:t xml:space="preserve"> und von 4,5 Prozent </w:t>
      </w:r>
      <w:proofErr w:type="gramStart"/>
      <w:r>
        <w:rPr>
          <w:rFonts w:cs="Arial"/>
        </w:rPr>
        <w:t>in 2026</w:t>
      </w:r>
      <w:proofErr w:type="gramEnd"/>
      <w:r>
        <w:rPr>
          <w:rFonts w:cs="Arial"/>
        </w:rPr>
        <w:t xml:space="preserve"> aus.</w:t>
      </w:r>
      <w:r>
        <w:rPr>
          <w:rStyle w:val="Funotenzeichen"/>
          <w:rFonts w:cs="Arial"/>
        </w:rPr>
        <w:footnoteReference w:id="59"/>
      </w:r>
      <w:r>
        <w:rPr>
          <w:rFonts w:cs="Arial"/>
        </w:rPr>
        <w:t xml:space="preserve"> In der Gruppe der fortgeschrittenen Volkswirtschaften stützen besonders die Vereinigten Staaten das Wirtschaftswachstum 2025. Für den Euroraum wird nur ein langsames Wachstum um 1,0 Prozent </w:t>
      </w:r>
      <w:proofErr w:type="gramStart"/>
      <w:r>
        <w:rPr>
          <w:rFonts w:cs="Arial"/>
        </w:rPr>
        <w:t>in 2025</w:t>
      </w:r>
      <w:proofErr w:type="gramEnd"/>
      <w:r>
        <w:rPr>
          <w:rFonts w:cs="Arial"/>
        </w:rPr>
        <w:t xml:space="preserve"> und um 1,4 Prozent </w:t>
      </w:r>
      <w:proofErr w:type="gramStart"/>
      <w:r>
        <w:rPr>
          <w:rFonts w:cs="Arial"/>
        </w:rPr>
        <w:t>in 2026</w:t>
      </w:r>
      <w:proofErr w:type="gramEnd"/>
      <w:r>
        <w:rPr>
          <w:rFonts w:cs="Arial"/>
        </w:rPr>
        <w:t xml:space="preserve"> vorhergesagt.</w:t>
      </w:r>
      <w:r>
        <w:rPr>
          <w:rStyle w:val="Funotenzeichen"/>
          <w:rFonts w:cs="Arial"/>
        </w:rPr>
        <w:footnoteReference w:id="60"/>
      </w:r>
    </w:p>
    <w:p w14:paraId="72FF6AF5" w14:textId="77777777" w:rsidR="00CE5294" w:rsidRDefault="00CE5294" w:rsidP="00CE5294">
      <w:pPr>
        <w:rPr>
          <w:rFonts w:cs="Arial"/>
        </w:rPr>
      </w:pPr>
      <w:r>
        <w:rPr>
          <w:rFonts w:cs="Arial"/>
        </w:rPr>
        <w:t>Die aktuellen Prognosen sehen auch für das Jahr 2025 keine deutlichen Aufholeffekte für die deutsche Volkswirtschaft. Die Wachstumsprognose liegt bei 0,3 Prozent für das kommende Jahr.</w:t>
      </w:r>
      <w:r>
        <w:rPr>
          <w:rStyle w:val="Funotenzeichen"/>
          <w:rFonts w:cs="Arial"/>
        </w:rPr>
        <w:footnoteReference w:id="61"/>
      </w:r>
      <w:r>
        <w:rPr>
          <w:rFonts w:cs="Arial"/>
        </w:rPr>
        <w:t xml:space="preserve"> Damit bildet Deutschland erneut das Schlusslicht unter den Industrienationen. Als exportorientierte Volkswirtschaft belasten die globalen Krisen die deutsche Wirtschaft besonders.</w:t>
      </w:r>
      <w:r>
        <w:rPr>
          <w:rStyle w:val="Funotenzeichen"/>
          <w:rFonts w:cs="Arial"/>
        </w:rPr>
        <w:footnoteReference w:id="62"/>
      </w:r>
      <w:r>
        <w:rPr>
          <w:rFonts w:cs="Arial"/>
        </w:rPr>
        <w:t xml:space="preserve"> Bei verbesserten Investitionsbedingungen können neue Nachfrageimpulse entstehen. Das Wachstum 2025 wird vor allem durch robuste private Konsumausgaben getragen.</w:t>
      </w:r>
      <w:r>
        <w:rPr>
          <w:rStyle w:val="Funotenzeichen"/>
          <w:rFonts w:cs="Arial"/>
        </w:rPr>
        <w:footnoteReference w:id="63"/>
      </w:r>
    </w:p>
    <w:p w14:paraId="4BB72A4C" w14:textId="77777777" w:rsidR="00CE5294" w:rsidRDefault="00CE5294" w:rsidP="00CE5294">
      <w:pPr>
        <w:rPr>
          <w:rFonts w:cs="Arial"/>
        </w:rPr>
      </w:pPr>
      <w:r>
        <w:rPr>
          <w:rFonts w:cs="Arial"/>
        </w:rPr>
        <w:lastRenderedPageBreak/>
        <w:t>Auch der deutsche Arbeitsmarkt wird 2025 vorrausichtlich von der anhaltenden konjunkturellen Schwäche belastet. Das IW Köln rechnet mit einem leichten Rückgang der Erwerbstätigkeit und einem Anstieg der Arbeitslosenquote auf 6,2 Prozent.</w:t>
      </w:r>
      <w:r>
        <w:rPr>
          <w:rStyle w:val="Funotenzeichen"/>
          <w:rFonts w:cs="Arial"/>
        </w:rPr>
        <w:footnoteReference w:id="64"/>
      </w:r>
      <w:r>
        <w:rPr>
          <w:rFonts w:cs="Arial"/>
        </w:rPr>
        <w:t xml:space="preserve"> Die Auswirkungen auf die Staatseinnahmen in Form von Steuern und Sozialbeiträgen machen sich auch im deutschen Staatshaushalt bemerkbar.</w:t>
      </w:r>
      <w:r>
        <w:rPr>
          <w:rStyle w:val="Funotenzeichen"/>
          <w:rFonts w:cs="Arial"/>
        </w:rPr>
        <w:footnoteReference w:id="65"/>
      </w:r>
    </w:p>
    <w:p w14:paraId="4CDE71A9" w14:textId="77777777" w:rsidR="00CE5294" w:rsidRDefault="00CE5294" w:rsidP="00CE5294">
      <w:pPr>
        <w:rPr>
          <w:rFonts w:cs="Arial"/>
        </w:rPr>
      </w:pPr>
      <w:r>
        <w:rPr>
          <w:rFonts w:cs="Arial"/>
        </w:rPr>
        <w:t>Die unternehmensnahen Frühindikatoren deuten für 2025 ebenfalls mehr auf eine Seitwärtsentwicklung oder eine langsame Erholung hin. Die ZEW-Konjunkturerwartungen lagen zum Jahreswechsel 2024 / 2025 bei +15,7 Punkten nur eicht oberhalb der Nulllinie.</w:t>
      </w:r>
      <w:r>
        <w:rPr>
          <w:rStyle w:val="Funotenzeichen"/>
          <w:rFonts w:cs="Arial"/>
        </w:rPr>
        <w:footnoteReference w:id="66"/>
      </w:r>
      <w:r>
        <w:rPr>
          <w:rFonts w:cs="Arial"/>
        </w:rPr>
        <w:t xml:space="preserve"> Der Erwartungsindikator des ifo Institut bewegt sich auf einem niedrigen Niveau. Zum Jahresende haben sich die Perspektiven hier noch einmal eingetrübt.</w:t>
      </w:r>
      <w:r>
        <w:rPr>
          <w:rStyle w:val="Funotenzeichen"/>
          <w:rFonts w:cs="Arial"/>
        </w:rPr>
        <w:footnoteReference w:id="67"/>
      </w:r>
    </w:p>
    <w:p w14:paraId="0CBB4840" w14:textId="77777777" w:rsidR="00CE5294" w:rsidRDefault="00CE5294" w:rsidP="00CE5294">
      <w:pPr>
        <w:rPr>
          <w:rFonts w:cs="Arial"/>
        </w:rPr>
      </w:pPr>
      <w:r>
        <w:rPr>
          <w:rFonts w:cs="Arial"/>
        </w:rPr>
        <w:t xml:space="preserve">Der weltweite Automobilmarkt soll </w:t>
      </w:r>
      <w:proofErr w:type="gramStart"/>
      <w:r>
        <w:rPr>
          <w:rFonts w:cs="Arial"/>
        </w:rPr>
        <w:t>weiter wachsen</w:t>
      </w:r>
      <w:proofErr w:type="gramEnd"/>
      <w:r>
        <w:rPr>
          <w:rFonts w:cs="Arial"/>
        </w:rPr>
        <w:t>. Der VDA rechnet für das Jahr 2025 mit 80,4 Millionen Neuzulassungen, was ein Anstieg um zwei Prozent gegenüber 2024 bedeutet.</w:t>
      </w:r>
      <w:r>
        <w:rPr>
          <w:rStyle w:val="Funotenzeichen"/>
          <w:rFonts w:cs="Arial"/>
        </w:rPr>
        <w:footnoteReference w:id="68"/>
      </w:r>
      <w:r>
        <w:rPr>
          <w:rFonts w:cs="Arial"/>
        </w:rPr>
        <w:t xml:space="preserve"> Wenngleich China auch 2025 der weltweit größte Fahrzeugabsatzmarkt bleibt, schwächt sich das Wachstum hier ab. Die Neuzulassungen sollen um ein Prozent auf 23,2 Millionen ansteigen.</w:t>
      </w:r>
      <w:r>
        <w:rPr>
          <w:rStyle w:val="Funotenzeichen"/>
          <w:rFonts w:cs="Arial"/>
        </w:rPr>
        <w:footnoteReference w:id="69"/>
      </w:r>
      <w:r>
        <w:rPr>
          <w:rFonts w:cs="Arial"/>
        </w:rPr>
        <w:t xml:space="preserve"> Für den europäischen (16,2 Millionen Fahrzeuge) und den US-amerikanischen Markt (13,2 Millionen Fahrzeuge) wird jeweils ein Wachstum um zwei Prozent vorhergesagt.</w:t>
      </w:r>
      <w:r>
        <w:rPr>
          <w:rStyle w:val="Funotenzeichen"/>
          <w:rFonts w:cs="Arial"/>
        </w:rPr>
        <w:footnoteReference w:id="70"/>
      </w:r>
    </w:p>
    <w:p w14:paraId="07CF694A" w14:textId="77777777" w:rsidR="00CE5294" w:rsidRDefault="00CE5294" w:rsidP="00CE5294">
      <w:pPr>
        <w:rPr>
          <w:rFonts w:cs="Arial"/>
        </w:rPr>
      </w:pPr>
      <w:r>
        <w:rPr>
          <w:rFonts w:cs="Arial"/>
        </w:rPr>
        <w:t>Die VDA-Prognose für Deutschland geht für 2025 von 2,8 Millionen Neuzulassungen aus. Wenngleich dies ein leichtes Wachstum um ein Prozent bedeutet, bewegen sich die Neuzulassungen weiterhin um etwa ein Viertel unter dem Vorkrisenniveau von 2019.</w:t>
      </w:r>
      <w:r>
        <w:rPr>
          <w:rStyle w:val="Funotenzeichen"/>
          <w:rFonts w:cs="Arial"/>
        </w:rPr>
        <w:footnoteReference w:id="71"/>
      </w:r>
      <w:r>
        <w:rPr>
          <w:rFonts w:cs="Arial"/>
        </w:rPr>
        <w:t xml:space="preserve"> Das Wachstum wird dabei vor allem im Bereich der Elektromobilität erwartet. So rechnet der Verband mit 873.000 neuzugelassenen Elektrofahrzeugen, was ein Plus um 53 Prozent im Vorjahresvergleich bedeuten würde.</w:t>
      </w:r>
      <w:r>
        <w:rPr>
          <w:rStyle w:val="Funotenzeichen"/>
          <w:rFonts w:cs="Arial"/>
        </w:rPr>
        <w:footnoteReference w:id="72"/>
      </w:r>
      <w:r>
        <w:rPr>
          <w:rFonts w:cs="Arial"/>
        </w:rPr>
        <w:t xml:space="preserve"> Hintergrund sind die Anforderungen der CO</w:t>
      </w:r>
      <w:r w:rsidRPr="00D17008">
        <w:rPr>
          <w:rFonts w:cs="Arial"/>
          <w:vertAlign w:val="subscript"/>
        </w:rPr>
        <w:t>2</w:t>
      </w:r>
      <w:r>
        <w:rPr>
          <w:rFonts w:cs="Arial"/>
        </w:rPr>
        <w:t>-Flottenregulierung. Besonders die batterie-elektrischen Fahrzeuge sollen merklich expandieren.</w:t>
      </w:r>
      <w:r>
        <w:rPr>
          <w:rStyle w:val="Funotenzeichen"/>
          <w:rFonts w:cs="Arial"/>
        </w:rPr>
        <w:footnoteReference w:id="73"/>
      </w:r>
    </w:p>
    <w:p w14:paraId="3B06EB8A" w14:textId="33203F3C" w:rsidR="00CE5294" w:rsidRDefault="00CE5294" w:rsidP="00CE5294">
      <w:pPr>
        <w:rPr>
          <w:rFonts w:cs="Arial"/>
        </w:rPr>
      </w:pPr>
      <w:r>
        <w:rPr>
          <w:rFonts w:cs="Arial"/>
        </w:rPr>
        <w:t>Die Marktentwicklung für schwere Nutzfahrzeuge soll im Jahr 2025 in den einzelnen Märkten unterschiedlich verlaufen. Während für Europa ein Rückgang (-2 Prozent) auf 30</w:t>
      </w:r>
      <w:r w:rsidR="00D17008">
        <w:rPr>
          <w:rFonts w:cs="Arial"/>
        </w:rPr>
        <w:t>0</w:t>
      </w:r>
      <w:r>
        <w:rPr>
          <w:rFonts w:cs="Arial"/>
        </w:rPr>
        <w:t>.000 Einheiten erwartet wird, sieht die Prognose für die Vereinigten Staaten (+7 Prozent) und China (+3 Prozent) ein spürbares Wachstum.</w:t>
      </w:r>
      <w:r>
        <w:rPr>
          <w:rStyle w:val="Funotenzeichen"/>
          <w:rFonts w:cs="Arial"/>
        </w:rPr>
        <w:footnoteReference w:id="74"/>
      </w:r>
      <w:r>
        <w:rPr>
          <w:rFonts w:cs="Arial"/>
        </w:rPr>
        <w:t xml:space="preserve"> Für den </w:t>
      </w:r>
      <w:proofErr w:type="spellStart"/>
      <w:r>
        <w:rPr>
          <w:rFonts w:cs="Arial"/>
        </w:rPr>
        <w:t>Busmarkt</w:t>
      </w:r>
      <w:proofErr w:type="spellEnd"/>
      <w:r>
        <w:rPr>
          <w:rFonts w:cs="Arial"/>
        </w:rPr>
        <w:t xml:space="preserve"> erwartet der VDA hingegen eine </w:t>
      </w:r>
      <w:r>
        <w:rPr>
          <w:rFonts w:cs="Arial"/>
        </w:rPr>
        <w:lastRenderedPageBreak/>
        <w:t>Seitwärtsbewegung. Für die A</w:t>
      </w:r>
      <w:r w:rsidRPr="00A27565">
        <w:rPr>
          <w:rFonts w:cs="Arial"/>
        </w:rPr>
        <w:t xml:space="preserve">nhänger- und </w:t>
      </w:r>
      <w:proofErr w:type="spellStart"/>
      <w:r w:rsidRPr="00A27565">
        <w:rPr>
          <w:rFonts w:cs="Arial"/>
        </w:rPr>
        <w:t>Aufbautenindustrie</w:t>
      </w:r>
      <w:proofErr w:type="spellEnd"/>
      <w:r>
        <w:rPr>
          <w:rFonts w:cs="Arial"/>
        </w:rPr>
        <w:t xml:space="preserve"> ist keine Umkehr der Abwärtsentwicklung erkennbar.</w:t>
      </w:r>
      <w:r>
        <w:rPr>
          <w:rStyle w:val="Funotenzeichen"/>
          <w:rFonts w:cs="Arial"/>
        </w:rPr>
        <w:footnoteReference w:id="75"/>
      </w:r>
    </w:p>
    <w:p w14:paraId="1386D4B1" w14:textId="77777777" w:rsidR="00CE5294" w:rsidRDefault="00CE5294" w:rsidP="00CE5294">
      <w:pPr>
        <w:rPr>
          <w:rFonts w:cs="Arial"/>
        </w:rPr>
      </w:pPr>
      <w:r>
        <w:rPr>
          <w:rFonts w:cs="Arial"/>
        </w:rPr>
        <w:t>Im Maschinenbau setzen sich die fehlende Nachfrageimpulse voraussichtlich auch 2025 fort. Parallel machen sich steigende Kosten, etwa im Bereich Personal, bemerkbar.</w:t>
      </w:r>
      <w:r>
        <w:rPr>
          <w:rStyle w:val="Funotenzeichen"/>
          <w:rFonts w:cs="Arial"/>
        </w:rPr>
        <w:footnoteReference w:id="76"/>
      </w:r>
      <w:r>
        <w:rPr>
          <w:rFonts w:cs="Arial"/>
        </w:rPr>
        <w:t xml:space="preserve"> Der VDMA prognostiziert für 2025 erneut einen realen Produktionsrückgang um zwei Prozent. Dies bedeutet einen Produktionswert von 241 Milliarden Euro für den deutschen Maschinenbau.</w:t>
      </w:r>
      <w:r>
        <w:rPr>
          <w:rStyle w:val="Funotenzeichen"/>
          <w:rFonts w:cs="Arial"/>
        </w:rPr>
        <w:footnoteReference w:id="77"/>
      </w:r>
    </w:p>
    <w:p w14:paraId="369A4FAF" w14:textId="77777777" w:rsidR="00CE5294" w:rsidRDefault="00CE5294" w:rsidP="00CE5294">
      <w:pPr>
        <w:rPr>
          <w:rFonts w:cs="Arial"/>
        </w:rPr>
      </w:pPr>
      <w:r>
        <w:rPr>
          <w:rFonts w:cs="Arial"/>
        </w:rPr>
        <w:t>Für die metallumformenden Betriebe ist für das Jahr 2025 eine Geschäftsentwicklung im Einklang mit den Abnehmerbranchen zu erwarten. Im Trend ist mit einer Seitwärtsbewegung zu rechnen.</w:t>
      </w:r>
    </w:p>
    <w:p w14:paraId="350A4D3C" w14:textId="0796C9D0" w:rsidR="00CE5294" w:rsidRPr="00CE5294" w:rsidRDefault="00CE5294" w:rsidP="00CE5294">
      <w:pPr>
        <w:spacing w:after="0"/>
        <w:rPr>
          <w:rFonts w:cs="Arial"/>
        </w:rPr>
      </w:pPr>
      <w:r w:rsidRPr="00E02CFF">
        <w:rPr>
          <w:rFonts w:cs="Arial"/>
          <w:color w:val="000000" w:themeColor="text1"/>
          <w:highlight w:val="green"/>
        </w:rPr>
        <w:t>[Name des Unternehmens]</w:t>
      </w:r>
      <w:r w:rsidRPr="00E02CFF">
        <w:rPr>
          <w:rFonts w:cs="Arial"/>
          <w:color w:val="000000" w:themeColor="text1"/>
        </w:rPr>
        <w:t xml:space="preserve"> </w:t>
      </w:r>
      <w:r w:rsidRPr="00C82AE9">
        <w:rPr>
          <w:rFonts w:cs="Arial"/>
        </w:rPr>
        <w:t>schließt sich den Prognosen an und plant das Geschäftsjahr 202</w:t>
      </w:r>
      <w:r>
        <w:rPr>
          <w:rFonts w:cs="Arial"/>
        </w:rPr>
        <w:t>5</w:t>
      </w:r>
      <w:r w:rsidRPr="00C82AE9">
        <w:rPr>
          <w:rFonts w:cs="Arial"/>
        </w:rPr>
        <w:t xml:space="preserve"> entsprechend den oben gezeigten Ausführungen</w:t>
      </w:r>
      <w:r w:rsidRPr="008C1492">
        <w:rPr>
          <w:rFonts w:cs="Arial"/>
        </w:rPr>
        <w:t xml:space="preserve">. </w:t>
      </w:r>
    </w:p>
    <w:p w14:paraId="0BC80A3B" w14:textId="77777777" w:rsidR="00CE5294" w:rsidRPr="00CE5294" w:rsidRDefault="00CE5294" w:rsidP="00CE5294">
      <w:pPr>
        <w:spacing w:before="360" w:after="0"/>
        <w:rPr>
          <w:rFonts w:cs="Arial"/>
          <w:b/>
          <w:bCs/>
          <w:color w:val="1E2445"/>
          <w:sz w:val="24"/>
          <w:szCs w:val="24"/>
        </w:rPr>
      </w:pPr>
      <w:r w:rsidRPr="00CE5294">
        <w:rPr>
          <w:rFonts w:cs="Arial"/>
          <w:b/>
          <w:bCs/>
          <w:color w:val="1E2445"/>
          <w:sz w:val="24"/>
          <w:szCs w:val="24"/>
        </w:rPr>
        <w:t>V. Chancen- und Risikobericht</w:t>
      </w:r>
    </w:p>
    <w:p w14:paraId="143D2B6A" w14:textId="77777777" w:rsidR="00CE5294" w:rsidRPr="00CF056D" w:rsidRDefault="00CE5294" w:rsidP="00CE5294">
      <w:pPr>
        <w:pStyle w:val="m8865788025647841653msolistparagraph"/>
        <w:shd w:val="clear" w:color="auto" w:fill="FFFFFF"/>
        <w:spacing w:before="0" w:beforeAutospacing="0" w:after="0" w:afterAutospacing="0" w:line="360" w:lineRule="auto"/>
        <w:rPr>
          <w:rFonts w:ascii="Arial" w:eastAsiaTheme="minorHAnsi" w:hAnsi="Arial" w:cs="Arial"/>
          <w:b/>
          <w:color w:val="000000" w:themeColor="text1"/>
          <w:sz w:val="22"/>
          <w:szCs w:val="22"/>
          <w:lang w:eastAsia="en-US"/>
        </w:rPr>
      </w:pPr>
      <w:bookmarkStart w:id="0" w:name="_Hlk159839823"/>
      <w:r w:rsidRPr="00CE5294">
        <w:rPr>
          <w:rFonts w:ascii="Arial" w:eastAsiaTheme="minorHAnsi" w:hAnsi="Arial" w:cs="Arial"/>
          <w:b/>
          <w:color w:val="1E2445"/>
          <w:sz w:val="22"/>
          <w:szCs w:val="22"/>
          <w:lang w:eastAsia="en-US"/>
        </w:rPr>
        <w:t>Zukunftsfähigkeit der Geschäftsfelder</w:t>
      </w:r>
    </w:p>
    <w:bookmarkEnd w:id="0"/>
    <w:p w14:paraId="09B73AE8" w14:textId="77777777" w:rsidR="00CE5294" w:rsidRDefault="00CE5294" w:rsidP="00CE5294">
      <w:pPr>
        <w:pStyle w:val="m8865788025647841653msolistparagraph"/>
        <w:shd w:val="clear" w:color="auto" w:fill="FFFFFF"/>
        <w:spacing w:before="0" w:beforeAutospacing="0" w:after="0" w:afterAutospacing="0" w:line="360" w:lineRule="auto"/>
        <w:jc w:val="both"/>
        <w:rPr>
          <w:rFonts w:ascii="Arial" w:hAnsi="Arial" w:cs="Arial"/>
          <w:color w:val="000000" w:themeColor="text1"/>
          <w:sz w:val="22"/>
          <w:szCs w:val="22"/>
          <w:highlight w:val="green"/>
        </w:rPr>
      </w:pPr>
      <w:r w:rsidRPr="00CF056D">
        <w:rPr>
          <w:rFonts w:ascii="Arial" w:hAnsi="Arial" w:cs="Arial"/>
          <w:color w:val="000000" w:themeColor="text1"/>
          <w:sz w:val="22"/>
          <w:szCs w:val="22"/>
          <w:highlight w:val="green"/>
        </w:rPr>
        <w:t>[individuelle Beschreibung durch das Unternehmen]</w:t>
      </w:r>
    </w:p>
    <w:p w14:paraId="406CC364" w14:textId="77777777" w:rsidR="00CE5294" w:rsidRPr="00CE5294" w:rsidRDefault="00CE5294" w:rsidP="00CE5294">
      <w:pPr>
        <w:spacing w:before="360" w:after="0"/>
        <w:rPr>
          <w:rFonts w:cs="Arial"/>
          <w:color w:val="1E2445"/>
        </w:rPr>
      </w:pPr>
      <w:r w:rsidRPr="00CE5294">
        <w:rPr>
          <w:rFonts w:cs="Arial"/>
          <w:b/>
          <w:bCs/>
          <w:color w:val="1E2445"/>
          <w:szCs w:val="24"/>
        </w:rPr>
        <w:t>Weichenstellung für die Wettbewerbsfähigkeit Deutschlands</w:t>
      </w:r>
    </w:p>
    <w:p w14:paraId="2790B869" w14:textId="1D3059EF" w:rsidR="00CE5294" w:rsidRDefault="00D307CB" w:rsidP="00CE5294">
      <w:pPr>
        <w:tabs>
          <w:tab w:val="num" w:pos="720"/>
        </w:tabs>
        <w:rPr>
          <w:rFonts w:cs="Arial"/>
        </w:rPr>
      </w:pPr>
      <w:proofErr w:type="gramStart"/>
      <w:r>
        <w:rPr>
          <w:rFonts w:cs="Arial"/>
        </w:rPr>
        <w:t>In der</w:t>
      </w:r>
      <w:r w:rsidR="00CE5294" w:rsidRPr="005C1DB2">
        <w:rPr>
          <w:rFonts w:cs="Arial"/>
        </w:rPr>
        <w:t xml:space="preserve"> </w:t>
      </w:r>
      <w:r w:rsidR="00D17008">
        <w:rPr>
          <w:rFonts w:cs="Arial"/>
        </w:rPr>
        <w:t>zurückliegende</w:t>
      </w:r>
      <w:r w:rsidR="00CE5294" w:rsidRPr="005C1DB2">
        <w:rPr>
          <w:rFonts w:cs="Arial"/>
        </w:rPr>
        <w:t xml:space="preserve"> Bundestagswahl</w:t>
      </w:r>
      <w:proofErr w:type="gramEnd"/>
      <w:r w:rsidR="00CE5294" w:rsidRPr="005C1DB2">
        <w:rPr>
          <w:rFonts w:cs="Arial"/>
        </w:rPr>
        <w:t xml:space="preserve"> </w:t>
      </w:r>
      <w:r w:rsidR="00D17008">
        <w:rPr>
          <w:rFonts w:cs="Arial"/>
        </w:rPr>
        <w:t>vom</w:t>
      </w:r>
      <w:r w:rsidR="00CE5294" w:rsidRPr="005C1DB2">
        <w:rPr>
          <w:rFonts w:cs="Arial"/>
        </w:rPr>
        <w:t xml:space="preserve"> 23. Februar 2025</w:t>
      </w:r>
      <w:r>
        <w:rPr>
          <w:rFonts w:cs="Arial"/>
        </w:rPr>
        <w:t xml:space="preserve"> wurde der Schwerpunkt der politischen Debatte auch auf die </w:t>
      </w:r>
      <w:r w:rsidR="00CE5294" w:rsidRPr="005C1DB2">
        <w:rPr>
          <w:rFonts w:cs="Arial"/>
        </w:rPr>
        <w:t xml:space="preserve">Wettbewerbsfähigkeit des Standorts Deutschland </w:t>
      </w:r>
      <w:r>
        <w:rPr>
          <w:rFonts w:cs="Arial"/>
        </w:rPr>
        <w:t xml:space="preserve">gerichtet. </w:t>
      </w:r>
      <w:r w:rsidR="00CE5294" w:rsidRPr="005C1DB2">
        <w:rPr>
          <w:rFonts w:cs="Arial"/>
        </w:rPr>
        <w:t>Angesichts wirtschaftlicher Herausforderungen wie hoher Energie- und Arbeitskosten, zunehmender Bürokratie und Fachkräftemangel diskutier</w:t>
      </w:r>
      <w:r>
        <w:rPr>
          <w:rFonts w:cs="Arial"/>
        </w:rPr>
        <w:t>t</w:t>
      </w:r>
      <w:r w:rsidR="00CE5294" w:rsidRPr="005C1DB2">
        <w:rPr>
          <w:rFonts w:cs="Arial"/>
        </w:rPr>
        <w:t xml:space="preserve">en die Parteien unterschiedliche Strategien, um Deutschlands Position im globalen Wettbewerb zu stärken. </w:t>
      </w:r>
      <w:r w:rsidR="00CE5294" w:rsidRPr="00396437">
        <w:rPr>
          <w:rFonts w:cs="Arial"/>
        </w:rPr>
        <w:t xml:space="preserve">Die </w:t>
      </w:r>
      <w:r w:rsidR="00CE5294">
        <w:rPr>
          <w:rFonts w:cs="Arial"/>
        </w:rPr>
        <w:t>einzelnen</w:t>
      </w:r>
      <w:r w:rsidR="00CE5294" w:rsidRPr="00396437">
        <w:rPr>
          <w:rFonts w:cs="Arial"/>
        </w:rPr>
        <w:t xml:space="preserve"> Parteien </w:t>
      </w:r>
      <w:r w:rsidR="00CE5294">
        <w:rPr>
          <w:rFonts w:cs="Arial"/>
        </w:rPr>
        <w:t>sehen</w:t>
      </w:r>
      <w:r w:rsidR="00CE5294" w:rsidRPr="00396437">
        <w:rPr>
          <w:rFonts w:cs="Arial"/>
        </w:rPr>
        <w:t xml:space="preserve"> unterschiedliche Konzepte zur Bewältigung</w:t>
      </w:r>
      <w:r w:rsidR="00CE5294">
        <w:rPr>
          <w:rFonts w:cs="Arial"/>
        </w:rPr>
        <w:t xml:space="preserve"> der</w:t>
      </w:r>
      <w:r w:rsidR="00CE5294" w:rsidRPr="00396437">
        <w:rPr>
          <w:rFonts w:cs="Arial"/>
        </w:rPr>
        <w:t xml:space="preserve"> aktuelle</w:t>
      </w:r>
      <w:r w:rsidR="00CE5294">
        <w:rPr>
          <w:rFonts w:cs="Arial"/>
        </w:rPr>
        <w:t>n</w:t>
      </w:r>
      <w:r w:rsidR="00CE5294" w:rsidRPr="00396437">
        <w:rPr>
          <w:rFonts w:cs="Arial"/>
        </w:rPr>
        <w:t xml:space="preserve"> Herausforderungen</w:t>
      </w:r>
      <w:r w:rsidR="00CE5294">
        <w:rPr>
          <w:rFonts w:cs="Arial"/>
        </w:rPr>
        <w:t xml:space="preserve"> vor</w:t>
      </w:r>
      <w:r w:rsidR="00CE5294" w:rsidRPr="00396437">
        <w:rPr>
          <w:rFonts w:cs="Arial"/>
        </w:rPr>
        <w:t>. Während die CDU/CSU Steuerentlastungen fordern, setzt die SPD auf Investitionsanreize wie eine „Made in Germany“-Prämie.</w:t>
      </w:r>
      <w:r w:rsidR="00CE5294">
        <w:rPr>
          <w:rFonts w:cs="Arial"/>
        </w:rPr>
        <w:t xml:space="preserve"> </w:t>
      </w:r>
      <w:r>
        <w:rPr>
          <w:rFonts w:cs="Arial"/>
        </w:rPr>
        <w:t>Auch in den laufenden Koalitionsverhandlungen konnte noch keine Einigung zu zentralen Fragestellungen zur Stärkung der deutschen Wirtschaft gefunden werden.</w:t>
      </w:r>
      <w:r>
        <w:rPr>
          <w:rStyle w:val="Funotenzeichen"/>
          <w:rFonts w:cs="Arial"/>
        </w:rPr>
        <w:footnoteReference w:id="78"/>
      </w:r>
      <w:r>
        <w:rPr>
          <w:rFonts w:cs="Arial"/>
        </w:rPr>
        <w:t xml:space="preserve"> </w:t>
      </w:r>
      <w:r w:rsidR="00CE5294">
        <w:rPr>
          <w:rFonts w:cs="Arial"/>
        </w:rPr>
        <w:t xml:space="preserve">Die </w:t>
      </w:r>
      <w:r w:rsidR="00CE5294" w:rsidRPr="00396437">
        <w:rPr>
          <w:rFonts w:cs="Arial"/>
        </w:rPr>
        <w:t xml:space="preserve">Unternehmen in Deutschland benötigen frühzeitige Planungssicherheit, um Investitionen und strategische Entscheidungen effektiv treffen zu können. </w:t>
      </w:r>
      <w:r w:rsidR="00CE5294">
        <w:rPr>
          <w:rFonts w:cs="Arial"/>
        </w:rPr>
        <w:t xml:space="preserve">Eine verlängerte Phase der </w:t>
      </w:r>
      <w:r w:rsidR="00CE5294" w:rsidRPr="00396437">
        <w:rPr>
          <w:rFonts w:cs="Arial"/>
        </w:rPr>
        <w:t>wirtschaftspolitische</w:t>
      </w:r>
      <w:r w:rsidR="00CE5294">
        <w:rPr>
          <w:rFonts w:cs="Arial"/>
        </w:rPr>
        <w:t>n</w:t>
      </w:r>
      <w:r w:rsidR="00CE5294" w:rsidRPr="00396437">
        <w:rPr>
          <w:rFonts w:cs="Arial"/>
        </w:rPr>
        <w:t xml:space="preserve"> Unsicherheit</w:t>
      </w:r>
      <w:r w:rsidR="00CE5294">
        <w:rPr>
          <w:rFonts w:cs="Arial"/>
        </w:rPr>
        <w:t xml:space="preserve"> wird die Unternehmen nur weiter belasten.</w:t>
      </w:r>
      <w:r w:rsidR="00CE5294">
        <w:rPr>
          <w:rStyle w:val="Funotenzeichen"/>
          <w:rFonts w:cs="Arial"/>
        </w:rPr>
        <w:footnoteReference w:id="79"/>
      </w:r>
    </w:p>
    <w:p w14:paraId="75FF48E4" w14:textId="77777777" w:rsidR="00CE5294" w:rsidRDefault="00CE5294" w:rsidP="00CE5294">
      <w:pPr>
        <w:tabs>
          <w:tab w:val="num" w:pos="720"/>
        </w:tabs>
        <w:rPr>
          <w:rFonts w:cs="Arial"/>
        </w:rPr>
      </w:pPr>
      <w:r w:rsidRPr="005C1DB2">
        <w:rPr>
          <w:rFonts w:cs="Arial"/>
        </w:rPr>
        <w:t xml:space="preserve">Vor diesem Hintergrund appellieren Wirtschaftsvertreter an die zukünftige Bundesregierung, den wirtschaftspolitischen Kurs neu auszurichten. Konkret werden Maßnahmen wie die Senkung von Unternehmenssteuern, der Abbau von Bürokratie, Investitionen in digitale und </w:t>
      </w:r>
      <w:r w:rsidRPr="005C1DB2">
        <w:rPr>
          <w:rFonts w:cs="Arial"/>
        </w:rPr>
        <w:lastRenderedPageBreak/>
        <w:t>physische Infrastruktur sowie eine aktive Fachkräftepolitik gefordert, um den Standort Deutschland nachhaltig zu stärken.</w:t>
      </w:r>
      <w:r>
        <w:rPr>
          <w:rStyle w:val="Funotenzeichen"/>
          <w:rFonts w:cs="Arial"/>
        </w:rPr>
        <w:footnoteReference w:id="80"/>
      </w:r>
      <w:r w:rsidRPr="005C1DB2">
        <w:rPr>
          <w:rFonts w:cs="Arial"/>
        </w:rPr>
        <w:t xml:space="preserve"> </w:t>
      </w:r>
      <w:r>
        <w:rPr>
          <w:rFonts w:cs="Arial"/>
        </w:rPr>
        <w:t xml:space="preserve">Auch Hildegard Müller, </w:t>
      </w:r>
      <w:r w:rsidRPr="006D2D4F">
        <w:rPr>
          <w:rFonts w:cs="Arial"/>
        </w:rPr>
        <w:t>Präsidentin des Verbands der Automobilindustrie,</w:t>
      </w:r>
      <w:r>
        <w:rPr>
          <w:rFonts w:cs="Arial"/>
        </w:rPr>
        <w:t xml:space="preserve"> betont</w:t>
      </w:r>
      <w:r w:rsidRPr="006D2D4F">
        <w:rPr>
          <w:rFonts w:cs="Arial"/>
        </w:rPr>
        <w:t xml:space="preserve"> die dringende Notwendigkeit, dass Deutschland zu einer wirtschaftsfreundlichen und leistungsorientierten Politik zurückkehrt. Sie kritisiert, dass das Land international an Wettbewerbsfähigkeit und Standortattraktivität verloren hat und durch übermäßige Regulierung Innovationen hemmt. Müller fordert einen umfassenden wirtschaftlichen und mentalen Wandel, um Wachstum, Wohlstand und Klimaschutz zu sichern. Sie plädiert für entschlossene Reformen und eine stärkere Position Deutschlands in Europa, damit die deutsche Industrie ihr volles Potenzial entfalten kann.</w:t>
      </w:r>
      <w:r>
        <w:rPr>
          <w:rStyle w:val="Funotenzeichen"/>
          <w:rFonts w:cs="Arial"/>
        </w:rPr>
        <w:footnoteReference w:id="81"/>
      </w:r>
    </w:p>
    <w:p w14:paraId="507233EE" w14:textId="57BB81BC" w:rsidR="00CE5294" w:rsidRDefault="00CE5294" w:rsidP="00D307CB">
      <w:pPr>
        <w:rPr>
          <w:rFonts w:cs="Arial"/>
        </w:rPr>
      </w:pPr>
      <w:r w:rsidRPr="005C1DB2">
        <w:rPr>
          <w:rFonts w:cs="Arial"/>
        </w:rPr>
        <w:t>Neben den politischen Positionen sind insbesondere wirtschaftliche Perspektiven in die Diskussion der Wettbewerbsfähigkeit des Standortes Deutschlands aufzunehmen.</w:t>
      </w:r>
      <w:r w:rsidR="00D307CB">
        <w:rPr>
          <w:rFonts w:cs="Arial"/>
        </w:rPr>
        <w:t xml:space="preserve"> </w:t>
      </w:r>
      <w:r w:rsidRPr="005C1DB2">
        <w:rPr>
          <w:rFonts w:cs="Arial"/>
        </w:rPr>
        <w:t>Wirtschaftsverbände und Unternehmen äußern Besorgnis über die aktuelle Entwicklung. Der Bundesverband der Deutschen Industrie (BDI) warnt vor einem Verlust an Wettbewerbsfähigkeit und fordert eine neue Agenda für Wachstum.</w:t>
      </w:r>
      <w:r>
        <w:rPr>
          <w:rStyle w:val="Funotenzeichen"/>
          <w:rFonts w:cs="Arial"/>
        </w:rPr>
        <w:footnoteReference w:id="82"/>
      </w:r>
      <w:r w:rsidRPr="005C1DB2">
        <w:rPr>
          <w:rFonts w:cs="Arial"/>
        </w:rPr>
        <w:t xml:space="preserve"> </w:t>
      </w:r>
    </w:p>
    <w:p w14:paraId="35E48BBE" w14:textId="4520536C" w:rsidR="008A65F2" w:rsidRDefault="008A65F2" w:rsidP="008A65F2">
      <w:pPr>
        <w:spacing w:before="360" w:after="0"/>
        <w:rPr>
          <w:rFonts w:cs="Arial"/>
          <w:b/>
          <w:bCs/>
          <w:color w:val="1E2445"/>
          <w:szCs w:val="24"/>
        </w:rPr>
      </w:pPr>
      <w:r w:rsidRPr="008A65F2">
        <w:rPr>
          <w:rFonts w:cs="Arial"/>
          <w:b/>
          <w:bCs/>
          <w:color w:val="1E2445"/>
          <w:szCs w:val="24"/>
        </w:rPr>
        <w:t>S</w:t>
      </w:r>
      <w:r>
        <w:rPr>
          <w:rFonts w:cs="Arial"/>
          <w:b/>
          <w:bCs/>
          <w:color w:val="1E2445"/>
          <w:szCs w:val="24"/>
        </w:rPr>
        <w:t>o</w:t>
      </w:r>
      <w:r w:rsidRPr="008A65F2">
        <w:rPr>
          <w:rFonts w:cs="Arial"/>
          <w:b/>
          <w:bCs/>
          <w:color w:val="1E2445"/>
          <w:szCs w:val="24"/>
        </w:rPr>
        <w:t>ndervermögen Bundeswehr und Infrastruktur</w:t>
      </w:r>
    </w:p>
    <w:p w14:paraId="3E908376" w14:textId="1C9F8D97" w:rsidR="008A65F2" w:rsidRDefault="00D6098F" w:rsidP="00784A7D">
      <w:pPr>
        <w:rPr>
          <w:rFonts w:cs="Arial"/>
          <w:szCs w:val="24"/>
        </w:rPr>
      </w:pPr>
      <w:r w:rsidRPr="00D6098F">
        <w:rPr>
          <w:rFonts w:cs="Arial"/>
          <w:szCs w:val="24"/>
        </w:rPr>
        <w:t>Noch vor der Konstituierung des neuen Bundestages haben die Fraktionen von SPD, CDU/CSU und Bündnis 90/Die Grünen eine Grundgesetzänderung zur Schuldenregelung beschlossen. So sollen künftig Ausgaben für Verteidigung und bestimmte sicherheitspolitische Ausgaben in Teilen von der Schuldenbremse ausgenommen sein. Außerdem wurde die Einrichtung eines Sondervermögens in Höhe von 500 Milliarden Euro für zusätzliche Investitionen in die Infrastruktur und für zusätzliche Investitionen zur Erreichung der Klimaneutralität bis 2045 ermöglich</w:t>
      </w:r>
      <w:r>
        <w:rPr>
          <w:rFonts w:cs="Arial"/>
          <w:szCs w:val="24"/>
        </w:rPr>
        <w:t>t.</w:t>
      </w:r>
      <w:r>
        <w:rPr>
          <w:rStyle w:val="Funotenzeichen"/>
          <w:rFonts w:cs="Arial"/>
          <w:szCs w:val="24"/>
        </w:rPr>
        <w:footnoteReference w:id="83"/>
      </w:r>
    </w:p>
    <w:p w14:paraId="5EB85658" w14:textId="2604C06F" w:rsidR="00D6098F" w:rsidRPr="00D6098F" w:rsidRDefault="00D6098F" w:rsidP="008A65F2">
      <w:pPr>
        <w:spacing w:after="0"/>
        <w:rPr>
          <w:rFonts w:cs="Arial"/>
          <w:szCs w:val="24"/>
        </w:rPr>
      </w:pPr>
      <w:r>
        <w:rPr>
          <w:rFonts w:cs="Arial"/>
          <w:szCs w:val="24"/>
        </w:rPr>
        <w:t>Die vereinbarten Regelungen zu Sondervermögen bieten Chance</w:t>
      </w:r>
      <w:r w:rsidR="00604BB1">
        <w:rPr>
          <w:rFonts w:cs="Arial"/>
          <w:szCs w:val="24"/>
        </w:rPr>
        <w:t>n</w:t>
      </w:r>
      <w:r>
        <w:rPr>
          <w:rFonts w:cs="Arial"/>
          <w:szCs w:val="24"/>
        </w:rPr>
        <w:t xml:space="preserve"> und Risiken zugleich. Im ersten Schritt sind zusätzliche Wachstumsimpulse durch erhöhte Staatsinvestitionen zu erwarten. Diese kann die industrielle </w:t>
      </w:r>
      <w:r w:rsidR="008C7230">
        <w:rPr>
          <w:rFonts w:cs="Arial"/>
          <w:szCs w:val="24"/>
        </w:rPr>
        <w:t>Konjunktur</w:t>
      </w:r>
      <w:r>
        <w:rPr>
          <w:rFonts w:cs="Arial"/>
          <w:szCs w:val="24"/>
        </w:rPr>
        <w:t xml:space="preserve"> </w:t>
      </w:r>
      <w:r w:rsidR="008C7230">
        <w:rPr>
          <w:rFonts w:cs="Arial"/>
          <w:szCs w:val="24"/>
        </w:rPr>
        <w:t>stützen und Wachstumseffekte bewirken.</w:t>
      </w:r>
      <w:r w:rsidR="008C7230">
        <w:rPr>
          <w:rStyle w:val="Funotenzeichen"/>
          <w:rFonts w:cs="Arial"/>
          <w:szCs w:val="24"/>
        </w:rPr>
        <w:footnoteReference w:id="84"/>
      </w:r>
      <w:r w:rsidR="008C7230">
        <w:rPr>
          <w:rFonts w:cs="Arial"/>
          <w:szCs w:val="24"/>
        </w:rPr>
        <w:t xml:space="preserve"> </w:t>
      </w:r>
      <w:r w:rsidR="00784A7D">
        <w:rPr>
          <w:rFonts w:cs="Arial"/>
          <w:szCs w:val="24"/>
        </w:rPr>
        <w:t xml:space="preserve">Auch </w:t>
      </w:r>
      <w:r w:rsidR="00784A7D" w:rsidRPr="00BF4428">
        <w:rPr>
          <w:rFonts w:cs="Arial"/>
          <w:color w:val="000000" w:themeColor="text1"/>
          <w:highlight w:val="green"/>
          <w:shd w:val="clear" w:color="auto" w:fill="92D050"/>
        </w:rPr>
        <w:t>[Name des Unternehmens]</w:t>
      </w:r>
      <w:r w:rsidR="00784A7D" w:rsidRPr="006F4D7F">
        <w:rPr>
          <w:rFonts w:cs="Arial"/>
          <w:szCs w:val="24"/>
        </w:rPr>
        <w:t xml:space="preserve"> </w:t>
      </w:r>
      <w:r w:rsidR="00784A7D">
        <w:rPr>
          <w:rFonts w:cs="Arial"/>
          <w:szCs w:val="24"/>
        </w:rPr>
        <w:t xml:space="preserve">erwartet eine positive Nachfrageentwicklung in den Abnehmermärkten. </w:t>
      </w:r>
      <w:r w:rsidR="008C7230">
        <w:rPr>
          <w:rFonts w:cs="Arial"/>
          <w:szCs w:val="24"/>
        </w:rPr>
        <w:t xml:space="preserve">Zinszahlungen und Tilgungen werden die haushaltspolitischen Handlungsspielräume langfristig jedoch spürbar </w:t>
      </w:r>
      <w:r w:rsidR="00784A7D">
        <w:rPr>
          <w:rFonts w:cs="Arial"/>
          <w:szCs w:val="24"/>
        </w:rPr>
        <w:t>eingrenzen. Dies kann die wirtschaftspolitischen Rahmenbedingungen am Standort Deutschland wiederrum verschlechtern.</w:t>
      </w:r>
    </w:p>
    <w:p w14:paraId="7272C8D0" w14:textId="77777777" w:rsidR="00CE5294" w:rsidRPr="00CE5294" w:rsidRDefault="00CE5294" w:rsidP="00CE5294">
      <w:pPr>
        <w:spacing w:before="360" w:after="0"/>
        <w:rPr>
          <w:rFonts w:cs="Arial"/>
          <w:b/>
          <w:bCs/>
          <w:color w:val="1E2445"/>
          <w:szCs w:val="24"/>
        </w:rPr>
      </w:pPr>
      <w:r w:rsidRPr="00CE5294">
        <w:rPr>
          <w:rFonts w:cs="Arial"/>
          <w:b/>
          <w:bCs/>
          <w:color w:val="1E2445"/>
          <w:szCs w:val="24"/>
        </w:rPr>
        <w:t>Belastung durch drohende Handelskonflikte</w:t>
      </w:r>
    </w:p>
    <w:p w14:paraId="388ED0C5" w14:textId="4B30CC6A" w:rsidR="00CE5294" w:rsidRPr="00B22539" w:rsidRDefault="00CE5294" w:rsidP="00CE5294">
      <w:pPr>
        <w:rPr>
          <w:rFonts w:cs="Arial"/>
          <w:szCs w:val="24"/>
        </w:rPr>
      </w:pPr>
      <w:r w:rsidRPr="00B22539">
        <w:rPr>
          <w:rFonts w:cs="Arial"/>
          <w:szCs w:val="24"/>
        </w:rPr>
        <w:lastRenderedPageBreak/>
        <w:t>Die neue US-Administration hat in den ersten Wochen nach Amtseinführung bereits eine Reihe an protektionistischen Maßnahmen umgesetzt. So erließ US-Präsident Donald Trump beispielsweise Sonderzölle auf Importe von Stahl und Aluminium.</w:t>
      </w:r>
      <w:r w:rsidRPr="00B22539">
        <w:rPr>
          <w:rStyle w:val="Funotenzeichen"/>
          <w:rFonts w:cs="Arial"/>
          <w:szCs w:val="24"/>
        </w:rPr>
        <w:footnoteReference w:id="85"/>
      </w:r>
      <w:r w:rsidRPr="00B22539">
        <w:rPr>
          <w:rFonts w:cs="Arial"/>
          <w:szCs w:val="24"/>
        </w:rPr>
        <w:t xml:space="preserve"> Die deutsche Wirtschaft und Industrie wird aufgrund ihrer Exportorientierung von protektionistischen Maßnahmen besonders getroffen. Deutschland exportierte im Jahr 2024 Waren im Gesamtwert von 1.555,4 Milliarden Euro. Dabei sind die Vereinigten Staaten der wichtigste Absatzmarkt für deutsche Produkte.</w:t>
      </w:r>
      <w:r w:rsidRPr="00B22539">
        <w:rPr>
          <w:rStyle w:val="Funotenzeichen"/>
          <w:rFonts w:cs="Arial"/>
          <w:szCs w:val="24"/>
        </w:rPr>
        <w:footnoteReference w:id="86"/>
      </w:r>
      <w:r w:rsidRPr="00B22539">
        <w:rPr>
          <w:rFonts w:cs="Arial"/>
          <w:szCs w:val="24"/>
        </w:rPr>
        <w:t xml:space="preserve"> Die durch die Einfuhrzölle steigenden Kosten würde die Wettbewerbsfähigkeit deutscher Güter im Ausland massiv verschlechtern.</w:t>
      </w:r>
      <w:r w:rsidR="00784A7D">
        <w:rPr>
          <w:rFonts w:cs="Arial"/>
          <w:szCs w:val="24"/>
        </w:rPr>
        <w:t xml:space="preserve"> Anfang April kündigte US-Präsident Donald Trump Importzölle in der Höhe von 20 Prozent auf Waren aus der Europäischen Union an.</w:t>
      </w:r>
      <w:r w:rsidR="008538FF">
        <w:rPr>
          <w:rStyle w:val="Funotenzeichen"/>
          <w:rFonts w:cs="Arial"/>
          <w:szCs w:val="24"/>
        </w:rPr>
        <w:footnoteReference w:id="87"/>
      </w:r>
    </w:p>
    <w:p w14:paraId="300B1CF6" w14:textId="4061DA7C" w:rsidR="008538FF" w:rsidRDefault="00CE5294" w:rsidP="00CE5294">
      <w:pPr>
        <w:rPr>
          <w:rFonts w:cs="Arial"/>
          <w:szCs w:val="24"/>
        </w:rPr>
      </w:pPr>
      <w:r w:rsidRPr="00B22539">
        <w:rPr>
          <w:rFonts w:cs="Arial"/>
          <w:szCs w:val="24"/>
        </w:rPr>
        <w:t xml:space="preserve">Der VDA sieht </w:t>
      </w:r>
      <w:r w:rsidR="008538FF">
        <w:rPr>
          <w:rFonts w:cs="Arial"/>
          <w:szCs w:val="24"/>
        </w:rPr>
        <w:t xml:space="preserve">in den Zollmaßnahmen der US-Administration mit 25 Prozent Einfuhrzöllen auf Pkw und leichte Nutzfahrzeuge eine Abkehr vom regelbasierten globalen Welthandel. Die Auswirkungen werden spürbar für </w:t>
      </w:r>
      <w:r w:rsidR="00604BB1">
        <w:rPr>
          <w:rFonts w:cs="Arial"/>
          <w:szCs w:val="24"/>
        </w:rPr>
        <w:t xml:space="preserve">die </w:t>
      </w:r>
      <w:r w:rsidR="008538FF">
        <w:rPr>
          <w:rFonts w:cs="Arial"/>
          <w:szCs w:val="24"/>
        </w:rPr>
        <w:t>weltweit ausgerichteten Automotive-Wertschöpfungsketten und seine Unternehmen sein.</w:t>
      </w:r>
      <w:r w:rsidR="008538FF">
        <w:rPr>
          <w:rStyle w:val="Funotenzeichen"/>
          <w:rFonts w:cs="Arial"/>
          <w:szCs w:val="24"/>
        </w:rPr>
        <w:footnoteReference w:id="88"/>
      </w:r>
      <w:r w:rsidR="00ED10D1">
        <w:rPr>
          <w:rFonts w:cs="Arial"/>
          <w:szCs w:val="24"/>
        </w:rPr>
        <w:t xml:space="preserve"> Der VDA fordert entschlossene politische Maßnahmen und politische Bemühungen zu Freihandelsabkommen.</w:t>
      </w:r>
      <w:r w:rsidR="00ED10D1">
        <w:rPr>
          <w:rStyle w:val="Funotenzeichen"/>
          <w:rFonts w:cs="Arial"/>
          <w:szCs w:val="24"/>
        </w:rPr>
        <w:footnoteReference w:id="89"/>
      </w:r>
    </w:p>
    <w:p w14:paraId="488EDA02" w14:textId="18AC9635" w:rsidR="00CE5294" w:rsidRDefault="00CE5294" w:rsidP="00CE5294">
      <w:pPr>
        <w:rPr>
          <w:rFonts w:cs="Arial"/>
          <w:szCs w:val="24"/>
        </w:rPr>
      </w:pPr>
      <w:r w:rsidRPr="00B22539">
        <w:rPr>
          <w:rFonts w:cs="Arial"/>
          <w:szCs w:val="24"/>
        </w:rPr>
        <w:t xml:space="preserve">Eine Simulationsstudie des IW Köln zeigt, dass </w:t>
      </w:r>
      <w:proofErr w:type="gramStart"/>
      <w:r w:rsidRPr="00B22539">
        <w:rPr>
          <w:rFonts w:cs="Arial"/>
          <w:szCs w:val="24"/>
        </w:rPr>
        <w:t>alleine</w:t>
      </w:r>
      <w:proofErr w:type="gramEnd"/>
      <w:r w:rsidRPr="00B22539">
        <w:rPr>
          <w:rFonts w:cs="Arial"/>
          <w:szCs w:val="24"/>
        </w:rPr>
        <w:t xml:space="preserve"> die angekündigten US-Strafzölle auf Importe aus Kanada, Mexiko und China massive Folgen für die deutsche Wirtschaft hätten. Die Kosten würden sich für die deutsche Wirtschaft laut dem Institut für die Jahre 2025 und 2026 auf etwa 25 Milliarden Euro belaufen.</w:t>
      </w:r>
      <w:r w:rsidRPr="00B22539">
        <w:rPr>
          <w:rStyle w:val="Funotenzeichen"/>
          <w:rFonts w:cs="Arial"/>
          <w:szCs w:val="24"/>
        </w:rPr>
        <w:footnoteReference w:id="90"/>
      </w:r>
      <w:r w:rsidRPr="00B22539">
        <w:rPr>
          <w:rFonts w:cs="Arial"/>
          <w:szCs w:val="24"/>
        </w:rPr>
        <w:t xml:space="preserve"> </w:t>
      </w:r>
      <w:proofErr w:type="gramStart"/>
      <w:r w:rsidRPr="00B22539">
        <w:rPr>
          <w:rFonts w:cs="Arial"/>
          <w:szCs w:val="24"/>
        </w:rPr>
        <w:t>Neben</w:t>
      </w:r>
      <w:proofErr w:type="gramEnd"/>
      <w:r w:rsidRPr="00B22539">
        <w:rPr>
          <w:rFonts w:cs="Arial"/>
          <w:szCs w:val="24"/>
        </w:rPr>
        <w:t xml:space="preserve"> der gedrosselten Nachfrage nach deutschen Vorprodukten belastet auch </w:t>
      </w:r>
      <w:proofErr w:type="gramStart"/>
      <w:r w:rsidRPr="00B22539">
        <w:rPr>
          <w:rFonts w:cs="Arial"/>
          <w:szCs w:val="24"/>
        </w:rPr>
        <w:t>das gedämpften Wachstum</w:t>
      </w:r>
      <w:proofErr w:type="gramEnd"/>
      <w:r w:rsidRPr="00B22539">
        <w:rPr>
          <w:rFonts w:cs="Arial"/>
          <w:szCs w:val="24"/>
        </w:rPr>
        <w:t xml:space="preserve"> in den direkt betroffenen Ländern die deutsche Volkswirtschaft. Grundsätzlich dämpfen zudem die globalen Handelskonflikte die Investitionstätigkeit weltweit.</w:t>
      </w:r>
      <w:r w:rsidRPr="00B22539">
        <w:rPr>
          <w:rStyle w:val="Funotenzeichen"/>
          <w:rFonts w:cs="Arial"/>
          <w:szCs w:val="24"/>
        </w:rPr>
        <w:footnoteReference w:id="91"/>
      </w:r>
      <w:r w:rsidRPr="00B22539">
        <w:rPr>
          <w:rFonts w:cs="Arial"/>
          <w:szCs w:val="24"/>
        </w:rPr>
        <w:t xml:space="preserve"> Besonders für das Jahr 2026 würde Deutschland nach den Berechnungen des IW Köln ein um 0,4 Prozent geringeres Wirtschaftswachstum drohen.</w:t>
      </w:r>
      <w:r w:rsidRPr="00B22539">
        <w:rPr>
          <w:rStyle w:val="Funotenzeichen"/>
          <w:rFonts w:cs="Arial"/>
          <w:szCs w:val="24"/>
        </w:rPr>
        <w:footnoteReference w:id="92"/>
      </w:r>
    </w:p>
    <w:p w14:paraId="2B4E6036" w14:textId="77777777" w:rsidR="00CE5294" w:rsidRPr="00B22539" w:rsidRDefault="00CE5294" w:rsidP="00CE5294">
      <w:pPr>
        <w:rPr>
          <w:rFonts w:cs="Arial"/>
          <w:szCs w:val="24"/>
        </w:rPr>
      </w:pPr>
      <w:r>
        <w:rPr>
          <w:rFonts w:cs="Arial"/>
          <w:szCs w:val="24"/>
        </w:rPr>
        <w:t xml:space="preserve">Auch </w:t>
      </w:r>
      <w:r w:rsidRPr="00BF4428">
        <w:rPr>
          <w:rFonts w:cs="Arial"/>
          <w:color w:val="000000" w:themeColor="text1"/>
          <w:highlight w:val="green"/>
          <w:shd w:val="clear" w:color="auto" w:fill="92D050"/>
        </w:rPr>
        <w:t>[Name des Unternehmens]</w:t>
      </w:r>
      <w:r w:rsidRPr="006F4D7F">
        <w:rPr>
          <w:rFonts w:cs="Arial"/>
          <w:szCs w:val="24"/>
        </w:rPr>
        <w:t xml:space="preserve"> wird durch die drohenden Handelskonflikte belastet werden. Aus diesem Grund werden die aktuellen dynamischen Geschehnisse kontinuierlich analysiert, um etwaige Vorbereitungsmaßnahmen einzuleiten. </w:t>
      </w:r>
    </w:p>
    <w:p w14:paraId="583C28AB" w14:textId="77777777" w:rsidR="00CE5294" w:rsidRPr="00CE5294" w:rsidRDefault="00CE5294" w:rsidP="00CE5294">
      <w:pPr>
        <w:spacing w:before="360" w:after="0"/>
        <w:rPr>
          <w:rFonts w:cs="Arial"/>
          <w:b/>
          <w:bCs/>
          <w:color w:val="1E2445"/>
          <w:szCs w:val="24"/>
        </w:rPr>
      </w:pPr>
      <w:r w:rsidRPr="00CE5294">
        <w:rPr>
          <w:rFonts w:cs="Arial"/>
          <w:b/>
          <w:bCs/>
          <w:color w:val="1E2445"/>
          <w:szCs w:val="24"/>
        </w:rPr>
        <w:t>Künstliche Intelligenz (KI) im Mittelstand</w:t>
      </w:r>
    </w:p>
    <w:p w14:paraId="16F11F56" w14:textId="3BDCED7E" w:rsidR="00CE5294" w:rsidRPr="00917E9F" w:rsidRDefault="00CE5294" w:rsidP="00B52052">
      <w:pPr>
        <w:rPr>
          <w:szCs w:val="24"/>
        </w:rPr>
      </w:pPr>
      <w:r>
        <w:rPr>
          <w:szCs w:val="24"/>
        </w:rPr>
        <w:t>Die Bedeutung von künstlicher Intelligenz (KI) nimmt auch im deutschen (</w:t>
      </w:r>
      <w:proofErr w:type="spellStart"/>
      <w:r>
        <w:rPr>
          <w:szCs w:val="24"/>
        </w:rPr>
        <w:t>automobilien</w:t>
      </w:r>
      <w:proofErr w:type="spellEnd"/>
      <w:r>
        <w:rPr>
          <w:szCs w:val="24"/>
        </w:rPr>
        <w:t xml:space="preserve">) Mittelstand zu, so </w:t>
      </w:r>
      <w:r w:rsidRPr="00917E9F">
        <w:rPr>
          <w:szCs w:val="24"/>
        </w:rPr>
        <w:t>Prof. Dr. Stefan Wrobel, Professor für Informatik an der Universität Bonn und Leiter des Fraunhofer-Instituts für Intelligente Analyse- und Informationssysteme (IAIS)</w:t>
      </w:r>
      <w:r>
        <w:rPr>
          <w:szCs w:val="24"/>
        </w:rPr>
        <w:t xml:space="preserve"> in </w:t>
      </w:r>
      <w:r>
        <w:rPr>
          <w:szCs w:val="24"/>
        </w:rPr>
        <w:lastRenderedPageBreak/>
        <w:t xml:space="preserve">einem </w:t>
      </w:r>
      <w:r w:rsidRPr="00917E9F">
        <w:rPr>
          <w:szCs w:val="24"/>
        </w:rPr>
        <w:t>Interview mit dem Verband der Automobilindustrie (VDA</w:t>
      </w:r>
      <w:r>
        <w:rPr>
          <w:szCs w:val="24"/>
        </w:rPr>
        <w:t xml:space="preserve">). </w:t>
      </w:r>
      <w:r w:rsidRPr="00917E9F">
        <w:rPr>
          <w:szCs w:val="24"/>
        </w:rPr>
        <w:t xml:space="preserve">Ein entscheidender Erfolgsfaktor ist </w:t>
      </w:r>
      <w:r>
        <w:rPr>
          <w:szCs w:val="24"/>
        </w:rPr>
        <w:t xml:space="preserve">seiner Meinung nach </w:t>
      </w:r>
      <w:r w:rsidRPr="00917E9F">
        <w:rPr>
          <w:szCs w:val="24"/>
        </w:rPr>
        <w:t>die Identifikation geeigneter Anwendungsfälle entlang der gesamten Wertschöpfungskette, beispielsweise im Kundenservice oder zur Effizienzsteigerung. Kooperationen können helfen, praxisnahe Lösungen zu entwickeln, selbst wenn eigene Datenbestände begrenzt sind. Prof. Wrobel betont, dass durch den Einsatz vorhandener Basismodelle der Bedarf an umfangreichen eigenen Daten reduziert wird. Dennoch bleibt die Bereitstellung unternehmensspezifischer Informationen entscheidend, um den maximalen Nutzen aus KI-Anwendungen zu ziehen.</w:t>
      </w:r>
      <w:r>
        <w:rPr>
          <w:rStyle w:val="Funotenzeichen"/>
          <w:szCs w:val="24"/>
        </w:rPr>
        <w:footnoteReference w:id="93"/>
      </w:r>
    </w:p>
    <w:p w14:paraId="3B4BD958" w14:textId="364542A3" w:rsidR="00CE5294" w:rsidRPr="00917E9F" w:rsidRDefault="00CE5294" w:rsidP="00B52052">
      <w:pPr>
        <w:rPr>
          <w:szCs w:val="24"/>
        </w:rPr>
      </w:pPr>
      <w:r w:rsidRPr="00917E9F">
        <w:rPr>
          <w:szCs w:val="24"/>
        </w:rPr>
        <w:t>Unternehmen</w:t>
      </w:r>
      <w:r>
        <w:rPr>
          <w:szCs w:val="24"/>
        </w:rPr>
        <w:t xml:space="preserve"> wird empfohlen</w:t>
      </w:r>
      <w:r w:rsidRPr="00917E9F">
        <w:rPr>
          <w:szCs w:val="24"/>
        </w:rPr>
        <w:t>, vorhandene Mitarbeiter durch gezielte Weiterbildungsmaßnahmen im Bereich KI zu qualifizieren oder mit externen Partnern zusammenzuarbeiten. Dadurch kann bestehendes Know-how genutzt und gleichzeitig die Innovationskraft gestärkt werden.</w:t>
      </w:r>
    </w:p>
    <w:p w14:paraId="67DDDA29" w14:textId="77777777" w:rsidR="00CE5294" w:rsidRPr="00917E9F" w:rsidRDefault="00CE5294" w:rsidP="00B52052">
      <w:pPr>
        <w:rPr>
          <w:szCs w:val="24"/>
        </w:rPr>
      </w:pPr>
      <w:r w:rsidRPr="00917E9F">
        <w:rPr>
          <w:szCs w:val="24"/>
        </w:rPr>
        <w:t>Darüber hinaus hebt er die Bedeutung von Datensicherheit und Vertrauenswürdigkeit bei der Implementierung von KI-Projekten hervor. Neben der Einhaltung gesetzlicher Vorgaben sei eine solide Projektplanung essenziell, die bestehende Standards und externe Expertise einbezieht. Dies mindert Projektrisiken und erhöht die Erfolgswahrscheinlichkeit.</w:t>
      </w:r>
    </w:p>
    <w:p w14:paraId="450744E4" w14:textId="77777777" w:rsidR="00CE5294" w:rsidRDefault="00CE5294" w:rsidP="00B52052">
      <w:pPr>
        <w:rPr>
          <w:szCs w:val="24"/>
        </w:rPr>
      </w:pPr>
      <w:r w:rsidRPr="00917E9F">
        <w:rPr>
          <w:szCs w:val="24"/>
        </w:rPr>
        <w:t>Schließlich hebt Prof. Wrobel das enorme Potenzial generativer KI zur Effizienzsteigerung in Bereichen wie Verwaltung, Produktion, Entwicklung und Management hervor. Sie bietet die Chance, neue Geschäftsmodelle zu entwickeln und die Wettbewerbsfähigkeit zu erhöhen. Deutschland verfügt über ein starkes Ökosystem aus Automobil- und IT-Partnern, das es zu nutzen gilt, um im internationalen Wettbewerb erfolgreich zu bestehen. Insgesamt bietet der Einsatz von KI bedeutende Wachstumschancen, birgt jedoch auch Herausforderungen, deren erfolgreiche Bewältigung entscheidend für die Zukunftsfähigkeit des automobilen Mittelstands ist.</w:t>
      </w:r>
    </w:p>
    <w:p w14:paraId="42EAAB2E" w14:textId="77777777" w:rsidR="00CE5294" w:rsidRDefault="00CE5294" w:rsidP="00B52052">
      <w:pPr>
        <w:rPr>
          <w:szCs w:val="24"/>
        </w:rPr>
      </w:pPr>
      <w:r w:rsidRPr="001E7972">
        <w:rPr>
          <w:szCs w:val="24"/>
        </w:rPr>
        <w:t>Eine Umfrage des VDA zeigte, dass 36 Prozent der Unternehmen bereits KI einsetzen, während weitere 41 Prozent dies planen. Haupthemmnisse für einen schnelleren Einsatz sind fehlendes Fachpersonal und hohe Investitionskosten. Zudem gaben 83 Prozent der Unternehmen an, durch Bürokratie stark belastet zu sein. Mehr als ein Drittel plant, Investitionen ins Ausland zu verlagern, was die Dringlichkeit politischer Maßnahmen zur Stärkung des Industriestandorts Deutschland unterstreicht.</w:t>
      </w:r>
      <w:r>
        <w:rPr>
          <w:rStyle w:val="Funotenzeichen"/>
          <w:szCs w:val="24"/>
        </w:rPr>
        <w:footnoteReference w:id="94"/>
      </w:r>
    </w:p>
    <w:p w14:paraId="061BEDDB" w14:textId="14FA1EFC" w:rsidR="00ED10D1" w:rsidRPr="00861D32" w:rsidRDefault="00CE5294" w:rsidP="00CE5294">
      <w:pPr>
        <w:spacing w:after="0"/>
        <w:rPr>
          <w:szCs w:val="24"/>
        </w:rPr>
      </w:pPr>
      <w:r>
        <w:rPr>
          <w:szCs w:val="24"/>
        </w:rPr>
        <w:t xml:space="preserve">Auch </w:t>
      </w:r>
      <w:r w:rsidRPr="00BF4428">
        <w:rPr>
          <w:rFonts w:cs="Arial"/>
          <w:color w:val="000000" w:themeColor="text1"/>
          <w:highlight w:val="green"/>
          <w:shd w:val="clear" w:color="auto" w:fill="92D050"/>
        </w:rPr>
        <w:t>[Name des Unternehmens]</w:t>
      </w:r>
      <w:r w:rsidRPr="006F4D7F">
        <w:rPr>
          <w:rFonts w:cs="Arial"/>
          <w:color w:val="000000" w:themeColor="text1"/>
        </w:rPr>
        <w:t xml:space="preserve"> </w:t>
      </w:r>
      <w:r>
        <w:rPr>
          <w:szCs w:val="24"/>
        </w:rPr>
        <w:t xml:space="preserve">nutzt bereits erste KI-Anwendungen um die Chancen, welche diese </w:t>
      </w:r>
      <w:proofErr w:type="gramStart"/>
      <w:r>
        <w:rPr>
          <w:szCs w:val="24"/>
        </w:rPr>
        <w:t>bieten</w:t>
      </w:r>
      <w:proofErr w:type="gramEnd"/>
      <w:r>
        <w:rPr>
          <w:szCs w:val="24"/>
        </w:rPr>
        <w:t xml:space="preserve"> frühestmöglich zu nutzen.</w:t>
      </w:r>
    </w:p>
    <w:p w14:paraId="458A7B6A" w14:textId="77777777" w:rsidR="00ED10D1" w:rsidRDefault="00ED10D1" w:rsidP="00ED10D1">
      <w:pPr>
        <w:spacing w:before="360" w:after="0"/>
        <w:rPr>
          <w:rFonts w:cs="Arial"/>
          <w:b/>
          <w:bCs/>
          <w:color w:val="1E2445"/>
          <w:szCs w:val="24"/>
        </w:rPr>
      </w:pPr>
      <w:r>
        <w:rPr>
          <w:rFonts w:cs="Arial"/>
          <w:b/>
          <w:bCs/>
          <w:color w:val="1E2445"/>
          <w:szCs w:val="24"/>
        </w:rPr>
        <w:t>V</w:t>
      </w:r>
      <w:r w:rsidRPr="00ED10D1">
        <w:rPr>
          <w:rFonts w:cs="Arial"/>
          <w:b/>
          <w:bCs/>
          <w:color w:val="1E2445"/>
          <w:szCs w:val="24"/>
        </w:rPr>
        <w:t>ereinfacht</w:t>
      </w:r>
      <w:r>
        <w:rPr>
          <w:rFonts w:cs="Arial"/>
          <w:b/>
          <w:bCs/>
          <w:color w:val="1E2445"/>
          <w:szCs w:val="24"/>
        </w:rPr>
        <w:t>e</w:t>
      </w:r>
      <w:r w:rsidRPr="00ED10D1">
        <w:rPr>
          <w:rFonts w:cs="Arial"/>
          <w:b/>
          <w:bCs/>
          <w:color w:val="1E2445"/>
          <w:szCs w:val="24"/>
        </w:rPr>
        <w:t xml:space="preserve"> Vorschriften für Nachhaltigkeitsberichterstattung</w:t>
      </w:r>
    </w:p>
    <w:p w14:paraId="3799743B" w14:textId="10C701BA" w:rsidR="00CE5294" w:rsidRDefault="00ED10D1" w:rsidP="00CE5294">
      <w:pPr>
        <w:rPr>
          <w:rFonts w:cs="Arial"/>
        </w:rPr>
      </w:pPr>
      <w:r>
        <w:rPr>
          <w:rFonts w:cs="Arial"/>
          <w:b/>
          <w:bCs/>
          <w:color w:val="1E2445"/>
          <w:szCs w:val="24"/>
        </w:rPr>
        <w:lastRenderedPageBreak/>
        <w:t>I</w:t>
      </w:r>
      <w:r w:rsidR="00CE5294" w:rsidRPr="0048275F">
        <w:rPr>
          <w:rFonts w:cs="Arial"/>
        </w:rPr>
        <w:t xml:space="preserve">m Rahmen ihrer Strategie zur Omnibus-Direktive und zur Steigerung der Wettbewerbsfähigkeit hat die Europäische Kommission am </w:t>
      </w:r>
      <w:r>
        <w:rPr>
          <w:rFonts w:cs="Arial"/>
        </w:rPr>
        <w:t>26</w:t>
      </w:r>
      <w:r w:rsidR="00CE5294" w:rsidRPr="0048275F">
        <w:rPr>
          <w:rFonts w:cs="Arial"/>
        </w:rPr>
        <w:t xml:space="preserve">. </w:t>
      </w:r>
      <w:r>
        <w:rPr>
          <w:rFonts w:cs="Arial"/>
        </w:rPr>
        <w:t xml:space="preserve">Februar </w:t>
      </w:r>
      <w:r w:rsidR="00CE5294" w:rsidRPr="0048275F">
        <w:rPr>
          <w:rFonts w:cs="Arial"/>
        </w:rPr>
        <w:t>2025 wichtige Maßnahmen vorgestellt, die insbesondere die Nachhaltigkeitsberichterstattung gemäß der</w:t>
      </w:r>
      <w:r w:rsidR="00CE5294" w:rsidRPr="00E66758">
        <w:t xml:space="preserve"> </w:t>
      </w:r>
      <w:r w:rsidR="00CE5294" w:rsidRPr="00E66758">
        <w:rPr>
          <w:rFonts w:cs="Arial"/>
        </w:rPr>
        <w:t>Corporate Sustainability Reporting Directive</w:t>
      </w:r>
      <w:r w:rsidR="00CE5294" w:rsidRPr="0048275F">
        <w:rPr>
          <w:rFonts w:cs="Arial"/>
        </w:rPr>
        <w:t xml:space="preserve"> </w:t>
      </w:r>
      <w:r w:rsidR="00CE5294">
        <w:rPr>
          <w:rFonts w:cs="Arial"/>
        </w:rPr>
        <w:t>(</w:t>
      </w:r>
      <w:r w:rsidR="00CE5294" w:rsidRPr="0048275F">
        <w:rPr>
          <w:rFonts w:cs="Arial"/>
        </w:rPr>
        <w:t>CSRD</w:t>
      </w:r>
      <w:r w:rsidR="00CE5294">
        <w:rPr>
          <w:rFonts w:cs="Arial"/>
        </w:rPr>
        <w:t>)</w:t>
      </w:r>
      <w:r>
        <w:rPr>
          <w:rFonts w:cs="Arial"/>
        </w:rPr>
        <w:t xml:space="preserve">, EU-Taxonomie und der </w:t>
      </w:r>
      <w:r w:rsidRPr="00ED10D1">
        <w:rPr>
          <w:rFonts w:cs="Arial"/>
        </w:rPr>
        <w:t>Corporate Sustainability Due Diligence Directive</w:t>
      </w:r>
      <w:r w:rsidR="00CE5294" w:rsidRPr="0048275F">
        <w:rPr>
          <w:rFonts w:cs="Arial"/>
        </w:rPr>
        <w:t xml:space="preserve"> betreffen.</w:t>
      </w:r>
      <w:r w:rsidR="00CE5294">
        <w:rPr>
          <w:rStyle w:val="Funotenzeichen"/>
          <w:rFonts w:cs="Arial"/>
        </w:rPr>
        <w:footnoteReference w:id="95"/>
      </w:r>
      <w:r>
        <w:rPr>
          <w:rFonts w:cs="Arial"/>
        </w:rPr>
        <w:t xml:space="preserve"> </w:t>
      </w:r>
      <w:r w:rsidR="00CE5294" w:rsidRPr="0048275F">
        <w:rPr>
          <w:rFonts w:cs="Arial"/>
        </w:rPr>
        <w:t xml:space="preserve">Zur Reduzierung der Bürokratie hat die Kommission ehrgeizige Ziele formuliert: Die Berichtspflichten sollen um mindestens 25 </w:t>
      </w:r>
      <w:r w:rsidR="00CE5294">
        <w:rPr>
          <w:rFonts w:cs="Arial"/>
        </w:rPr>
        <w:t>Prozent</w:t>
      </w:r>
      <w:r w:rsidR="00CE5294" w:rsidRPr="0048275F">
        <w:rPr>
          <w:rFonts w:cs="Arial"/>
        </w:rPr>
        <w:t xml:space="preserve"> für alle Unternehmen und um 35 </w:t>
      </w:r>
      <w:r w:rsidR="00CE5294">
        <w:rPr>
          <w:rFonts w:cs="Arial"/>
        </w:rPr>
        <w:t>Prozent</w:t>
      </w:r>
      <w:r w:rsidR="00CE5294" w:rsidRPr="0048275F">
        <w:rPr>
          <w:rFonts w:cs="Arial"/>
        </w:rPr>
        <w:t xml:space="preserve"> für kleine und mittlere Unternehmen (KMU) gesenkt werden. Dies soll zu einer spürbaren Reduzierung der gesamten Verwaltungskosten führen.</w:t>
      </w:r>
      <w:r w:rsidR="00CE5294">
        <w:rPr>
          <w:rStyle w:val="Funotenzeichen"/>
          <w:rFonts w:cs="Arial"/>
        </w:rPr>
        <w:footnoteReference w:id="96"/>
      </w:r>
    </w:p>
    <w:p w14:paraId="55C5EC17" w14:textId="570877D0" w:rsidR="00ED10D1" w:rsidRDefault="00AA4C15" w:rsidP="00CE5294">
      <w:pPr>
        <w:rPr>
          <w:rFonts w:cs="Arial"/>
        </w:rPr>
      </w:pPr>
      <w:r>
        <w:rPr>
          <w:rFonts w:cs="Arial"/>
        </w:rPr>
        <w:t>Im konkreten sieht der Vorschlag der EU-Kommission eine deutliche Einschränkung des Anwendungsbereichs zur CSRD-Berichterstattung vor. Etwa 80 Prozent der Unternehmen sollen von der Berichtspflicht ausgenommen werden, sodass nur noch Unternehmen mit über 1.000 Beschäftigten eine Nachhaltigkeitserklärung zu veröffentlichen haben.</w:t>
      </w:r>
      <w:r>
        <w:rPr>
          <w:rStyle w:val="Funotenzeichen"/>
          <w:rFonts w:cs="Arial"/>
        </w:rPr>
        <w:footnoteReference w:id="97"/>
      </w:r>
      <w:r>
        <w:rPr>
          <w:rFonts w:cs="Arial"/>
        </w:rPr>
        <w:t xml:space="preserve"> </w:t>
      </w:r>
      <w:proofErr w:type="gramStart"/>
      <w:r>
        <w:rPr>
          <w:rFonts w:cs="Arial"/>
        </w:rPr>
        <w:t>Neben</w:t>
      </w:r>
      <w:proofErr w:type="gramEnd"/>
      <w:r>
        <w:rPr>
          <w:rFonts w:cs="Arial"/>
        </w:rPr>
        <w:t xml:space="preserve"> der Reduzierung des Berichtsumfang sieht der Kommissionsvorschlag auch eine Verschiebung um zwei Jahre vor.</w:t>
      </w:r>
      <w:r>
        <w:rPr>
          <w:rStyle w:val="Funotenzeichen"/>
          <w:rFonts w:cs="Arial"/>
        </w:rPr>
        <w:footnoteReference w:id="98"/>
      </w:r>
      <w:r>
        <w:rPr>
          <w:rFonts w:cs="Arial"/>
        </w:rPr>
        <w:t xml:space="preserve"> Dieser Vorschlag wurde bereits vom EU-Parlament bestätigt, sodass nur noch die formelle Bestätigung durch den EU-Rat aussteht.</w:t>
      </w:r>
      <w:r>
        <w:rPr>
          <w:rStyle w:val="Funotenzeichen"/>
          <w:rFonts w:cs="Arial"/>
        </w:rPr>
        <w:footnoteReference w:id="99"/>
      </w:r>
    </w:p>
    <w:p w14:paraId="482D5674" w14:textId="77777777" w:rsidR="00CE5294" w:rsidRPr="0048275F" w:rsidRDefault="00CE5294" w:rsidP="00CE5294">
      <w:pPr>
        <w:rPr>
          <w:rFonts w:cs="Arial"/>
        </w:rPr>
      </w:pPr>
      <w:r w:rsidRPr="0048275F">
        <w:rPr>
          <w:rFonts w:cs="Arial"/>
        </w:rPr>
        <w:t>Zudem ist eine Vereinfachung des CO</w:t>
      </w:r>
      <w:r w:rsidRPr="0048275F">
        <w:rPr>
          <w:rFonts w:ascii="Cambria Math" w:hAnsi="Cambria Math" w:cs="Cambria Math"/>
        </w:rPr>
        <w:t>₂</w:t>
      </w:r>
      <w:r w:rsidRPr="0048275F">
        <w:rPr>
          <w:rFonts w:cs="Arial"/>
        </w:rPr>
        <w:t>-Grenzausgleichsmechanismus (CBAM) geplant. Besonderes Augenmerk liegt dabei auf kleineren Marktakteuren, um den Verwaltungsaufwand für Unternehmen mit begrenzten Ressourcen zu verringern.</w:t>
      </w:r>
      <w:r>
        <w:rPr>
          <w:rStyle w:val="Funotenzeichen"/>
          <w:rFonts w:cs="Arial"/>
        </w:rPr>
        <w:footnoteReference w:id="100"/>
      </w:r>
    </w:p>
    <w:p w14:paraId="0E5A6A2C" w14:textId="77777777" w:rsidR="00CE5294" w:rsidRDefault="00CE5294" w:rsidP="00CE5294">
      <w:pPr>
        <w:rPr>
          <w:rFonts w:cs="Arial"/>
        </w:rPr>
      </w:pPr>
      <w:r w:rsidRPr="0048275F">
        <w:rPr>
          <w:rFonts w:cs="Arial"/>
        </w:rPr>
        <w:t>Diese geplanten Maßnahmen bieten Chancen zur Reduzierung des administrativen Aufwands und zur Stärkung der Wettbewerbsfähigkeit. Gleichzeitig können sie zur Effizienzsteigerung in der Nachhaltigkeitsberichterstattung beitragen, was sich positiv auf unser Risikomanagement und unsere Compliance-Strategie auswirken wird.</w:t>
      </w:r>
      <w:r>
        <w:rPr>
          <w:rStyle w:val="Funotenzeichen"/>
          <w:rFonts w:cs="Arial"/>
        </w:rPr>
        <w:footnoteReference w:id="101"/>
      </w:r>
    </w:p>
    <w:p w14:paraId="6C285B04" w14:textId="0649F0CB" w:rsidR="00CE5294" w:rsidRDefault="00CE5294" w:rsidP="00CE5294">
      <w:pPr>
        <w:spacing w:after="0"/>
        <w:rPr>
          <w:rFonts w:cs="Arial"/>
        </w:rPr>
      </w:pPr>
      <w:r>
        <w:rPr>
          <w:rFonts w:cs="Arial"/>
        </w:rPr>
        <w:t xml:space="preserve">Auch </w:t>
      </w:r>
      <w:r w:rsidRPr="00BF4428">
        <w:rPr>
          <w:rFonts w:cs="Arial"/>
          <w:color w:val="000000" w:themeColor="text1"/>
          <w:highlight w:val="green"/>
          <w:shd w:val="clear" w:color="auto" w:fill="92D050"/>
        </w:rPr>
        <w:t>[Name des Unternehmens]</w:t>
      </w:r>
      <w:r w:rsidRPr="00DE4CFE">
        <w:rPr>
          <w:rFonts w:cs="Arial"/>
        </w:rPr>
        <w:t xml:space="preserve"> ist </w:t>
      </w:r>
      <w:r>
        <w:rPr>
          <w:rFonts w:cs="Arial"/>
        </w:rPr>
        <w:t xml:space="preserve">von </w:t>
      </w:r>
      <w:r w:rsidRPr="00DE4CFE">
        <w:rPr>
          <w:rFonts w:cs="Arial"/>
        </w:rPr>
        <w:t xml:space="preserve">der geplanten Vereinfachung der Nachhaltigkeitsberichterstattung betroffen im Rahmen der </w:t>
      </w:r>
      <w:r w:rsidRPr="0048275F">
        <w:rPr>
          <w:rFonts w:cs="Arial"/>
        </w:rPr>
        <w:t>Omnibus-Direktive</w:t>
      </w:r>
      <w:r>
        <w:rPr>
          <w:rFonts w:cs="Arial"/>
        </w:rPr>
        <w:t xml:space="preserve">. </w:t>
      </w:r>
    </w:p>
    <w:p w14:paraId="63389AB8" w14:textId="77777777" w:rsidR="00CE5294" w:rsidRPr="00CE5294" w:rsidRDefault="00CE5294" w:rsidP="00CE5294">
      <w:pPr>
        <w:spacing w:before="360" w:after="0"/>
        <w:rPr>
          <w:rFonts w:cs="Arial"/>
          <w:b/>
          <w:bCs/>
          <w:color w:val="1E2445"/>
          <w:szCs w:val="24"/>
        </w:rPr>
      </w:pPr>
      <w:r w:rsidRPr="00CE5294">
        <w:rPr>
          <w:rFonts w:cs="Arial"/>
          <w:b/>
          <w:bCs/>
          <w:color w:val="1E2445"/>
          <w:szCs w:val="24"/>
        </w:rPr>
        <w:t>VSME-Standard – Vereinfachung der Nachhaltigkeitsberichterstattung für KMU</w:t>
      </w:r>
    </w:p>
    <w:p w14:paraId="0D945ED6" w14:textId="77777777" w:rsidR="00CE5294" w:rsidRDefault="00CE5294" w:rsidP="00CE5294">
      <w:pPr>
        <w:rPr>
          <w:rFonts w:cs="Arial"/>
        </w:rPr>
      </w:pPr>
      <w:r w:rsidRPr="0092772A">
        <w:rPr>
          <w:rFonts w:cs="Arial"/>
        </w:rPr>
        <w:t xml:space="preserve">Der VSME-Standard ist ein freiwilliger Berichtstandard für </w:t>
      </w:r>
      <w:r>
        <w:rPr>
          <w:rFonts w:cs="Arial"/>
        </w:rPr>
        <w:t xml:space="preserve">KMU </w:t>
      </w:r>
      <w:r w:rsidRPr="0092772A">
        <w:rPr>
          <w:rFonts w:cs="Arial"/>
        </w:rPr>
        <w:t xml:space="preserve">in der EU, der diese bei der Dokumentation ihrer Nachhaltigkeitsaktivitäten unterstützt. </w:t>
      </w:r>
      <w:r>
        <w:rPr>
          <w:rFonts w:cs="Arial"/>
        </w:rPr>
        <w:t>Der</w:t>
      </w:r>
      <w:r w:rsidRPr="0092772A">
        <w:rPr>
          <w:rFonts w:cs="Arial"/>
        </w:rPr>
        <w:t xml:space="preserve"> VSME-Standard biete</w:t>
      </w:r>
      <w:r>
        <w:rPr>
          <w:rFonts w:cs="Arial"/>
        </w:rPr>
        <w:t>t</w:t>
      </w:r>
      <w:r w:rsidRPr="0092772A">
        <w:rPr>
          <w:rFonts w:cs="Arial"/>
        </w:rPr>
        <w:t xml:space="preserve"> </w:t>
      </w:r>
      <w:r>
        <w:rPr>
          <w:rFonts w:cs="Arial"/>
        </w:rPr>
        <w:t>den</w:t>
      </w:r>
      <w:r w:rsidRPr="0092772A">
        <w:rPr>
          <w:rFonts w:cs="Arial"/>
        </w:rPr>
        <w:t xml:space="preserve"> Unternehmen eine vereinfachte und weniger komplexe Alternative zu den umfangreichen ESRS-Vorgaben der EU.</w:t>
      </w:r>
      <w:r>
        <w:rPr>
          <w:rStyle w:val="Funotenzeichen"/>
          <w:rFonts w:cs="Arial"/>
        </w:rPr>
        <w:footnoteReference w:id="102"/>
      </w:r>
      <w:r>
        <w:rPr>
          <w:rFonts w:cs="Arial"/>
        </w:rPr>
        <w:t xml:space="preserve"> </w:t>
      </w:r>
    </w:p>
    <w:p w14:paraId="1006F0FE" w14:textId="77777777" w:rsidR="00CE5294" w:rsidRDefault="00CE5294" w:rsidP="00CE5294">
      <w:pPr>
        <w:rPr>
          <w:rFonts w:cs="Arial"/>
        </w:rPr>
      </w:pPr>
      <w:r w:rsidRPr="0092772A">
        <w:rPr>
          <w:rFonts w:cs="Arial"/>
        </w:rPr>
        <w:lastRenderedPageBreak/>
        <w:t xml:space="preserve">Der Standard besteht aus zwei Modulen: Das Basis-Modul bietet grundlegende Informationen zu Umwelt- und Sozialthemen und umfasst </w:t>
      </w:r>
      <w:r>
        <w:rPr>
          <w:rFonts w:cs="Arial"/>
        </w:rPr>
        <w:t>elf</w:t>
      </w:r>
      <w:r w:rsidRPr="0092772A">
        <w:rPr>
          <w:rFonts w:cs="Arial"/>
        </w:rPr>
        <w:t xml:space="preserve"> Offenlegungen. Es ist der Einstiegspunkt für Unternehmen, die ihre Nachhaltigkeitsberichterstattung beginnen möchten. Das Umfassende Modul enthält </w:t>
      </w:r>
      <w:r>
        <w:rPr>
          <w:rFonts w:cs="Arial"/>
        </w:rPr>
        <w:t>neun</w:t>
      </w:r>
      <w:r w:rsidRPr="0092772A">
        <w:rPr>
          <w:rFonts w:cs="Arial"/>
        </w:rPr>
        <w:t xml:space="preserve"> detaillierte Offenlegungen und richtet sich an Unternehmen, die umfassendere Informationen bereitstellen wollen. Durch den modularen Aufbau können Unternehmen den Standard flexibel an ihre Bedürfnisse anpassen. Da der VSME-Standard freiwillig ist, </w:t>
      </w:r>
      <w:r>
        <w:rPr>
          <w:rFonts w:cs="Arial"/>
        </w:rPr>
        <w:t>ist</w:t>
      </w:r>
      <w:r w:rsidRPr="0092772A">
        <w:rPr>
          <w:rFonts w:cs="Arial"/>
        </w:rPr>
        <w:t xml:space="preserve"> sein Erfolg </w:t>
      </w:r>
      <w:r>
        <w:rPr>
          <w:rFonts w:cs="Arial"/>
        </w:rPr>
        <w:t xml:space="preserve">maßgeblich </w:t>
      </w:r>
      <w:r w:rsidRPr="0092772A">
        <w:rPr>
          <w:rFonts w:cs="Arial"/>
        </w:rPr>
        <w:t>von der Akzeptanz durch Ersteller (KMU) und Nutzer (Unternehmen in der Wertschöpfungskette, Investoren, Banken) ab</w:t>
      </w:r>
      <w:r>
        <w:rPr>
          <w:rFonts w:cs="Arial"/>
        </w:rPr>
        <w:t>hängig</w:t>
      </w:r>
      <w:r w:rsidRPr="0092772A">
        <w:rPr>
          <w:rFonts w:cs="Arial"/>
        </w:rPr>
        <w:t>.</w:t>
      </w:r>
      <w:r>
        <w:rPr>
          <w:rStyle w:val="Funotenzeichen"/>
          <w:rFonts w:cs="Arial"/>
        </w:rPr>
        <w:footnoteReference w:id="103"/>
      </w:r>
      <w:r w:rsidRPr="0092772A">
        <w:rPr>
          <w:rFonts w:cs="Arial"/>
        </w:rPr>
        <w:t xml:space="preserve"> </w:t>
      </w:r>
    </w:p>
    <w:p w14:paraId="48E16D6C" w14:textId="1ECFCEC3" w:rsidR="00CE5294" w:rsidRDefault="00CE5294" w:rsidP="00CE5294">
      <w:pPr>
        <w:spacing w:after="0"/>
        <w:rPr>
          <w:rFonts w:cs="Arial"/>
        </w:rPr>
      </w:pPr>
      <w:r>
        <w:rPr>
          <w:rFonts w:cs="Arial"/>
        </w:rPr>
        <w:t xml:space="preserve">Auch </w:t>
      </w:r>
      <w:r w:rsidRPr="00BF4428">
        <w:rPr>
          <w:rFonts w:cs="Arial"/>
          <w:color w:val="000000" w:themeColor="text1"/>
          <w:highlight w:val="green"/>
          <w:shd w:val="clear" w:color="auto" w:fill="92D050"/>
        </w:rPr>
        <w:t>[Name des Unternehmens]</w:t>
      </w:r>
      <w:r w:rsidRPr="00DE4CFE">
        <w:rPr>
          <w:rFonts w:cs="Arial"/>
        </w:rPr>
        <w:t xml:space="preserve"> </w:t>
      </w:r>
      <w:r>
        <w:rPr>
          <w:rFonts w:cs="Arial"/>
        </w:rPr>
        <w:t xml:space="preserve">kann aufgrund seiner Größenkriterien </w:t>
      </w:r>
      <w:proofErr w:type="gramStart"/>
      <w:r>
        <w:rPr>
          <w:rFonts w:cs="Arial"/>
        </w:rPr>
        <w:t>von der Berichterstattung</w:t>
      </w:r>
      <w:proofErr w:type="gramEnd"/>
      <w:r>
        <w:rPr>
          <w:rFonts w:cs="Arial"/>
        </w:rPr>
        <w:t xml:space="preserve"> gemäß </w:t>
      </w:r>
      <w:proofErr w:type="gramStart"/>
      <w:r>
        <w:rPr>
          <w:rFonts w:cs="Arial"/>
        </w:rPr>
        <w:t>VSME Gebrauch</w:t>
      </w:r>
      <w:proofErr w:type="gramEnd"/>
      <w:r>
        <w:rPr>
          <w:rFonts w:cs="Arial"/>
        </w:rPr>
        <w:t xml:space="preserve"> machen. </w:t>
      </w:r>
    </w:p>
    <w:p w14:paraId="0B2FB376" w14:textId="77777777" w:rsidR="00CE5294" w:rsidRPr="00CE5294" w:rsidRDefault="00CE5294" w:rsidP="00CE5294">
      <w:pPr>
        <w:spacing w:before="360" w:after="0"/>
        <w:rPr>
          <w:rFonts w:cs="Arial"/>
          <w:b/>
          <w:bCs/>
          <w:color w:val="1E2445"/>
          <w:szCs w:val="24"/>
        </w:rPr>
      </w:pPr>
      <w:r w:rsidRPr="00CE5294">
        <w:rPr>
          <w:rFonts w:cs="Arial"/>
          <w:b/>
          <w:bCs/>
          <w:color w:val="1E2445"/>
          <w:szCs w:val="24"/>
        </w:rPr>
        <w:t>Revision ISO 9001 und IATF 16949</w:t>
      </w:r>
    </w:p>
    <w:p w14:paraId="40046692" w14:textId="77777777" w:rsidR="00CE5294" w:rsidRPr="00CE5294" w:rsidRDefault="00CE5294" w:rsidP="00CE5294">
      <w:pPr>
        <w:rPr>
          <w:rFonts w:eastAsia="Calibri" w:cs="Times New Roman"/>
        </w:rPr>
      </w:pPr>
      <w:r w:rsidRPr="00CE5294">
        <w:rPr>
          <w:rFonts w:eastAsia="Calibri" w:cs="Times New Roman"/>
        </w:rPr>
        <w:t xml:space="preserve">Die ISO 9001, eine der weltweit anerkanntesten Normen für Qualitätsmanagementsysteme, befindet sich aktuell in der Revision. Ursprünglich war die Veröffentlichung einer überarbeiteten Version für 2025 geplant, doch aufgrund umfangreicher Diskussionen und Anpassungen innerhalb des zuständigen ISO-Komitees hat sich der Zeitplan verschoben. Der neue Veröffentlichungstermin für die überarbeitete Norm wird voraussichtlich auf 2026 festgelegt. Die derzeit laufende Konsultationsphase, die bis zum 14. März 2025 andauert, bezieht sich auf den zweiten Entwurf (Second Committee </w:t>
      </w:r>
      <w:proofErr w:type="spellStart"/>
      <w:r w:rsidRPr="00CE5294">
        <w:rPr>
          <w:rFonts w:eastAsia="Calibri" w:cs="Times New Roman"/>
        </w:rPr>
        <w:t>Draft</w:t>
      </w:r>
      <w:proofErr w:type="spellEnd"/>
      <w:r w:rsidRPr="00CE5294">
        <w:rPr>
          <w:rFonts w:eastAsia="Calibri" w:cs="Times New Roman"/>
        </w:rPr>
        <w:t>, CD). Dieser wurde am 17. Januar 2025 zur Abstimmung an die Mitglieder des zuständigen ISO-Ausschusses (SC 2) verteilt.</w:t>
      </w:r>
      <w:r w:rsidRPr="00CE5294">
        <w:rPr>
          <w:rStyle w:val="Funotenzeichen"/>
          <w:rFonts w:eastAsia="Calibri" w:cs="Times New Roman"/>
        </w:rPr>
        <w:footnoteReference w:id="104"/>
      </w:r>
    </w:p>
    <w:p w14:paraId="03DFCB6E" w14:textId="77777777" w:rsidR="00CE5294" w:rsidRPr="00CE5294" w:rsidRDefault="00CE5294" w:rsidP="00CE5294">
      <w:pPr>
        <w:rPr>
          <w:rFonts w:eastAsia="Calibri" w:cs="Times New Roman"/>
        </w:rPr>
      </w:pPr>
      <w:r w:rsidRPr="00CE5294">
        <w:rPr>
          <w:rFonts w:eastAsia="Calibri" w:cs="Times New Roman"/>
        </w:rPr>
        <w:t>Die Revision wird vor allem kleinere redaktionelle Anpassungen und weniger gravierende Änderungen umfassen, wobei der Fokus auf der Verbesserung der Norm und der Förderung der Flexibilität von Qualitätsmanagementsystemen liegt. Diese Überarbeitung stellt eine Gelegenheit für Unternehmen dar, ihre bestehenden Qualitätsmanagementprozesse zu hinterfragen und zu optimieren, um so ihre Effizienz zu steigern und möglichen Risiken frühzeitig entgegenzuwirken. Eine rechtzeitige Anpassung an die neuen Anforderungen könnte als Chance für die Weiterentwicklung und Optimierung von Qualitätsmanagementsystemen genutzt werden, was zu einer höheren Wettbewerbsfähigkeit führt.</w:t>
      </w:r>
      <w:r w:rsidRPr="00CE5294">
        <w:rPr>
          <w:rStyle w:val="Funotenzeichen"/>
          <w:rFonts w:eastAsia="Calibri" w:cs="Times New Roman"/>
        </w:rPr>
        <w:footnoteReference w:id="105"/>
      </w:r>
    </w:p>
    <w:p w14:paraId="3B8BED03" w14:textId="77777777" w:rsidR="00CE5294" w:rsidRPr="00CE5294" w:rsidRDefault="00CE5294" w:rsidP="00CE5294">
      <w:pPr>
        <w:rPr>
          <w:rFonts w:eastAsia="Calibri" w:cs="Times New Roman"/>
        </w:rPr>
      </w:pPr>
      <w:r w:rsidRPr="00CE5294">
        <w:rPr>
          <w:rFonts w:eastAsia="Calibri" w:cs="Times New Roman"/>
        </w:rPr>
        <w:t xml:space="preserve">Parallel zur ISO 9001 Revision hat die IATF (International Automotive Task Force) ebenfalls den Überarbeitungsprozess für die IATF 16949 angestoßen, der die Qualitätsmanagementstandards in der Automobilindustrie regelt. Die IATF gab im Oktober 2024 bekannt, dass die Arbeiten an einer neuen Version der Norm begonnen haben. Diese Revision soll unter anderem noch stärker auf aktuelle Herausforderungen wie Digitalisierung und Nachhaltigkeit </w:t>
      </w:r>
      <w:r w:rsidRPr="00CE5294">
        <w:rPr>
          <w:rFonts w:eastAsia="Calibri" w:cs="Times New Roman"/>
        </w:rPr>
        <w:lastRenderedPageBreak/>
        <w:t>eingehen und entsprechende Anpassungen vornehmen, um Unternehmen im Automobilsektor auch in Zukunft wettbewerbsfähig zu halten.</w:t>
      </w:r>
      <w:r w:rsidRPr="00CE5294">
        <w:rPr>
          <w:rStyle w:val="Funotenzeichen"/>
          <w:rFonts w:eastAsia="Calibri" w:cs="Times New Roman"/>
        </w:rPr>
        <w:footnoteReference w:id="106"/>
      </w:r>
    </w:p>
    <w:p w14:paraId="021072D2" w14:textId="77777777" w:rsidR="00CE5294" w:rsidRPr="00CE5294" w:rsidRDefault="00CE5294" w:rsidP="002F662B">
      <w:pPr>
        <w:rPr>
          <w:rFonts w:eastAsia="Calibri" w:cs="Times New Roman"/>
        </w:rPr>
      </w:pPr>
      <w:r w:rsidRPr="00CE5294">
        <w:rPr>
          <w:rFonts w:eastAsia="Calibri" w:cs="Times New Roman"/>
        </w:rPr>
        <w:t>Für Unternehmen, die in den Bereichen Qualitätsmanagement und Automobilindustrie tätig sind, bieten diese Normenrevisionen sowohl Chancen als auch Risiken. Auf der einen Seite eröffnet die Anpassung an neue Normen die Möglichkeit, Prozesse zu optimieren und sich als Innovationsführer zu positionieren. Auf der anderen Seite können Unternehmen, die sich nicht rechtzeitig auf die neuen Anforderungen einstellen, mit Herausforderungen bei der Umsetzung und möglichen Kostensteigerungen konfrontiert werden. Es ist daher ratsam, frühzeitig eine Strategie zur Anpassung an die kommenden Änderungen zu entwickeln, um langfristig den Anforderungen gerecht zu werden.</w:t>
      </w:r>
    </w:p>
    <w:p w14:paraId="59D66FF0" w14:textId="5B8DDAB1" w:rsidR="00CE5294" w:rsidRDefault="00CE5294" w:rsidP="00CE5294">
      <w:pPr>
        <w:spacing w:after="0"/>
        <w:rPr>
          <w:rFonts w:cs="Arial"/>
        </w:rPr>
      </w:pPr>
      <w:r w:rsidRPr="00CE5294">
        <w:rPr>
          <w:rFonts w:cs="Arial"/>
          <w:color w:val="000000" w:themeColor="text1"/>
          <w:highlight w:val="green"/>
          <w:shd w:val="clear" w:color="auto" w:fill="92D050"/>
        </w:rPr>
        <w:t>[Name des Unternehmens]</w:t>
      </w:r>
      <w:r w:rsidRPr="00CE5294">
        <w:rPr>
          <w:rFonts w:cs="Arial"/>
        </w:rPr>
        <w:t xml:space="preserve"> ist sich dieser kommenden Veränderungen bewusst und wird sich in den kommenden Monaten auf diese einstellen.</w:t>
      </w:r>
    </w:p>
    <w:p w14:paraId="12912321" w14:textId="77777777" w:rsidR="00CE5294" w:rsidRPr="00CE5294" w:rsidRDefault="00CE5294" w:rsidP="00CE5294">
      <w:pPr>
        <w:spacing w:before="360" w:after="0"/>
        <w:rPr>
          <w:rFonts w:cs="Arial"/>
          <w:b/>
          <w:bCs/>
          <w:color w:val="1E2445"/>
          <w:szCs w:val="24"/>
        </w:rPr>
      </w:pPr>
      <w:r w:rsidRPr="00CE5294">
        <w:rPr>
          <w:rFonts w:cs="Arial"/>
          <w:b/>
          <w:bCs/>
          <w:color w:val="1E2445"/>
          <w:szCs w:val="24"/>
        </w:rPr>
        <w:t>Gesamtrisikoposition</w:t>
      </w:r>
    </w:p>
    <w:p w14:paraId="6A4F0AAE" w14:textId="0F03D9A0" w:rsidR="00CE5294" w:rsidRDefault="00ED10D1" w:rsidP="002F662B">
      <w:pPr>
        <w:pStyle w:val="m8865788025647841653msolistparagraph"/>
        <w:spacing w:before="0" w:beforeAutospacing="0" w:after="120" w:afterAutospacing="0" w:line="360" w:lineRule="auto"/>
        <w:jc w:val="both"/>
        <w:rPr>
          <w:rFonts w:ascii="Arial" w:hAnsi="Arial" w:cs="Arial"/>
          <w:color w:val="000000" w:themeColor="text1"/>
          <w:sz w:val="22"/>
          <w:szCs w:val="22"/>
        </w:rPr>
      </w:pPr>
      <w:r w:rsidRPr="00ED10D1">
        <w:rPr>
          <w:rFonts w:ascii="Arial" w:hAnsi="Arial" w:cs="Arial"/>
          <w:color w:val="000000" w:themeColor="text1"/>
          <w:sz w:val="22"/>
          <w:szCs w:val="22"/>
          <w:highlight w:val="yellow"/>
          <w:shd w:val="clear" w:color="auto" w:fill="92D050"/>
        </w:rPr>
        <w:t>OPTION 1:</w:t>
      </w:r>
      <w:r>
        <w:rPr>
          <w:rFonts w:ascii="Arial" w:hAnsi="Arial" w:cs="Arial"/>
          <w:color w:val="000000" w:themeColor="text1"/>
          <w:sz w:val="22"/>
          <w:szCs w:val="22"/>
          <w:shd w:val="clear" w:color="auto" w:fill="92D050"/>
        </w:rPr>
        <w:t xml:space="preserve"> </w:t>
      </w:r>
      <w:r w:rsidR="00CE5294" w:rsidRPr="00BF4428">
        <w:rPr>
          <w:rFonts w:ascii="Arial" w:hAnsi="Arial" w:cs="Arial"/>
          <w:color w:val="000000" w:themeColor="text1"/>
          <w:sz w:val="22"/>
          <w:szCs w:val="22"/>
          <w:highlight w:val="green"/>
          <w:shd w:val="clear" w:color="auto" w:fill="92D050"/>
        </w:rPr>
        <w:t>[Name des Unternehmens]</w:t>
      </w:r>
      <w:r w:rsidR="00CE5294" w:rsidRPr="00BF4428">
        <w:rPr>
          <w:rFonts w:ascii="Arial" w:hAnsi="Arial" w:cs="Arial"/>
          <w:color w:val="000000" w:themeColor="text1"/>
          <w:sz w:val="22"/>
          <w:szCs w:val="22"/>
          <w:highlight w:val="green"/>
        </w:rPr>
        <w:t xml:space="preserve"> </w:t>
      </w:r>
      <w:r w:rsidR="00CE5294" w:rsidRPr="007D675C">
        <w:rPr>
          <w:rFonts w:ascii="Arial" w:hAnsi="Arial" w:cs="Arial"/>
          <w:color w:val="000000" w:themeColor="text1"/>
          <w:sz w:val="22"/>
          <w:szCs w:val="22"/>
        </w:rPr>
        <w:t>ist sich de</w:t>
      </w:r>
      <w:r w:rsidR="00CE5294">
        <w:rPr>
          <w:rFonts w:ascii="Arial" w:hAnsi="Arial" w:cs="Arial"/>
          <w:color w:val="000000" w:themeColor="text1"/>
          <w:sz w:val="22"/>
          <w:szCs w:val="22"/>
        </w:rPr>
        <w:t xml:space="preserve">n </w:t>
      </w:r>
      <w:r w:rsidR="00CE5294" w:rsidRPr="007D675C">
        <w:rPr>
          <w:rFonts w:ascii="Arial" w:hAnsi="Arial" w:cs="Arial"/>
          <w:color w:val="000000" w:themeColor="text1"/>
          <w:sz w:val="22"/>
          <w:szCs w:val="22"/>
        </w:rPr>
        <w:t xml:space="preserve">oben genannten Risiken bewusst und behandelt diese mit der gebotenen Sorgfalt. Vor diesem Hintergrund werden kontinuierlich Strategien entwickelt und </w:t>
      </w:r>
      <w:r w:rsidR="00CE5294">
        <w:rPr>
          <w:rFonts w:ascii="Arial" w:hAnsi="Arial" w:cs="Arial"/>
          <w:color w:val="000000" w:themeColor="text1"/>
          <w:sz w:val="22"/>
          <w:szCs w:val="22"/>
        </w:rPr>
        <w:t>etabliert</w:t>
      </w:r>
      <w:r w:rsidR="00CE5294" w:rsidRPr="007D675C">
        <w:rPr>
          <w:rFonts w:ascii="Arial" w:hAnsi="Arial" w:cs="Arial"/>
          <w:color w:val="000000" w:themeColor="text1"/>
          <w:sz w:val="22"/>
          <w:szCs w:val="22"/>
        </w:rPr>
        <w:t>, um mögliche negative Auswirkungen auf die Geschäftstätigkeit zu minimieren und die Resilienz des Unternehmens zu stärken.</w:t>
      </w:r>
    </w:p>
    <w:p w14:paraId="0B2770FD" w14:textId="5969400E" w:rsidR="00CE5294" w:rsidRDefault="00ED10D1" w:rsidP="00ED10D1">
      <w:pPr>
        <w:spacing w:after="0"/>
        <w:rPr>
          <w:rFonts w:cs="Arial"/>
          <w:color w:val="000000" w:themeColor="text1"/>
        </w:rPr>
      </w:pPr>
      <w:r w:rsidRPr="00ED10D1">
        <w:rPr>
          <w:rFonts w:cs="Arial"/>
          <w:color w:val="000000" w:themeColor="text1"/>
          <w:highlight w:val="yellow"/>
          <w:shd w:val="clear" w:color="auto" w:fill="92D050"/>
        </w:rPr>
        <w:t xml:space="preserve">OPTION </w:t>
      </w:r>
      <w:r>
        <w:rPr>
          <w:rFonts w:cs="Arial"/>
          <w:color w:val="000000" w:themeColor="text1"/>
          <w:highlight w:val="yellow"/>
          <w:shd w:val="clear" w:color="auto" w:fill="92D050"/>
        </w:rPr>
        <w:t>2</w:t>
      </w:r>
      <w:r w:rsidRPr="00ED10D1">
        <w:rPr>
          <w:rFonts w:cs="Arial"/>
          <w:color w:val="000000" w:themeColor="text1"/>
          <w:highlight w:val="yellow"/>
          <w:shd w:val="clear" w:color="auto" w:fill="92D050"/>
        </w:rPr>
        <w:t>:</w:t>
      </w:r>
      <w:r>
        <w:rPr>
          <w:rFonts w:cs="Arial"/>
          <w:color w:val="000000" w:themeColor="text1"/>
          <w:shd w:val="clear" w:color="auto" w:fill="92D050"/>
        </w:rPr>
        <w:t xml:space="preserve"> </w:t>
      </w:r>
      <w:r w:rsidRPr="00BF4428">
        <w:rPr>
          <w:rFonts w:cs="Arial"/>
          <w:color w:val="000000" w:themeColor="text1"/>
          <w:highlight w:val="green"/>
          <w:shd w:val="clear" w:color="auto" w:fill="92D050"/>
        </w:rPr>
        <w:t>[Name des Unternehmens]</w:t>
      </w:r>
      <w:r w:rsidRPr="00BF4428">
        <w:rPr>
          <w:rFonts w:cs="Arial"/>
          <w:color w:val="000000" w:themeColor="text1"/>
          <w:highlight w:val="green"/>
        </w:rPr>
        <w:t xml:space="preserve"> </w:t>
      </w:r>
      <w:r w:rsidR="00CE5294" w:rsidRPr="007D675C">
        <w:rPr>
          <w:rFonts w:cs="Arial"/>
          <w:color w:val="000000" w:themeColor="text1"/>
        </w:rPr>
        <w:t>erachtet die oben genannten Entwicklungen und regulatorischen Anforderungen als wesentliche Chance, das Geschäftsmodell weiterzuentwickeln und einen nachhaltigen Wettbewerbsvorteil zu erzielen.</w:t>
      </w:r>
      <w:r w:rsidR="00CE5294">
        <w:rPr>
          <w:rFonts w:cs="Arial"/>
          <w:color w:val="000000" w:themeColor="text1"/>
        </w:rPr>
        <w:br w:type="page"/>
      </w:r>
    </w:p>
    <w:p w14:paraId="1CC7BE9E" w14:textId="77777777" w:rsidR="00CE5294" w:rsidRPr="00CE5294" w:rsidRDefault="00CE5294" w:rsidP="00CE5294">
      <w:pPr>
        <w:spacing w:before="360" w:after="0"/>
        <w:rPr>
          <w:rFonts w:cs="Arial"/>
          <w:b/>
          <w:bCs/>
          <w:color w:val="1E2445"/>
          <w:sz w:val="24"/>
          <w:szCs w:val="24"/>
        </w:rPr>
      </w:pPr>
      <w:r w:rsidRPr="00CE5294">
        <w:rPr>
          <w:rFonts w:cs="Arial"/>
          <w:b/>
          <w:bCs/>
          <w:color w:val="1E2445"/>
          <w:sz w:val="24"/>
          <w:szCs w:val="24"/>
        </w:rPr>
        <w:lastRenderedPageBreak/>
        <w:t>VI. Schlussbemerkung</w:t>
      </w:r>
    </w:p>
    <w:p w14:paraId="35E87928" w14:textId="77777777" w:rsidR="00CE5294" w:rsidRPr="00CF056D" w:rsidRDefault="00CE5294" w:rsidP="00CE5294">
      <w:pPr>
        <w:pStyle w:val="m8865788025647841653msolistparagraph"/>
        <w:shd w:val="clear" w:color="auto" w:fill="FFFFFF"/>
        <w:spacing w:before="0" w:beforeAutospacing="0" w:after="0" w:afterAutospacing="0" w:line="360" w:lineRule="auto"/>
        <w:jc w:val="both"/>
        <w:rPr>
          <w:rFonts w:ascii="Arial" w:hAnsi="Arial" w:cs="Arial"/>
          <w:color w:val="000000" w:themeColor="text1"/>
          <w:sz w:val="22"/>
          <w:szCs w:val="22"/>
        </w:rPr>
      </w:pPr>
      <w:r w:rsidRPr="00CF056D">
        <w:rPr>
          <w:rFonts w:ascii="Arial" w:hAnsi="Arial" w:cs="Arial"/>
          <w:color w:val="000000" w:themeColor="text1"/>
          <w:sz w:val="22"/>
          <w:szCs w:val="22"/>
          <w:highlight w:val="green"/>
        </w:rPr>
        <w:t>[individuelle Beschreibung durch das Unternehmen]</w:t>
      </w:r>
    </w:p>
    <w:p w14:paraId="327CD17E" w14:textId="77777777" w:rsidR="00CE5294" w:rsidRPr="00CF056D" w:rsidRDefault="00CE5294" w:rsidP="00CE5294">
      <w:pPr>
        <w:pStyle w:val="m8865788025647841653msolistparagraph"/>
        <w:shd w:val="clear" w:color="auto" w:fill="FFFFFF"/>
        <w:spacing w:before="0" w:beforeAutospacing="0" w:after="0" w:afterAutospacing="0" w:line="360" w:lineRule="auto"/>
        <w:jc w:val="both"/>
        <w:rPr>
          <w:rFonts w:ascii="Arial" w:hAnsi="Arial" w:cs="Arial"/>
          <w:b/>
          <w:sz w:val="22"/>
          <w:szCs w:val="22"/>
          <w:u w:val="single"/>
        </w:rPr>
      </w:pPr>
    </w:p>
    <w:p w14:paraId="797DA011" w14:textId="77777777" w:rsidR="00CE5294" w:rsidRDefault="00CE5294" w:rsidP="00CE5294">
      <w:pPr>
        <w:pStyle w:val="m8865788025647841653msolistparagraph"/>
        <w:shd w:val="clear" w:color="auto" w:fill="FFFFFF"/>
        <w:spacing w:before="0" w:beforeAutospacing="0" w:after="0" w:afterAutospacing="0" w:line="360" w:lineRule="auto"/>
        <w:jc w:val="both"/>
        <w:rPr>
          <w:rFonts w:ascii="Arial" w:hAnsi="Arial" w:cs="Arial"/>
          <w:color w:val="000000" w:themeColor="text1"/>
          <w:sz w:val="22"/>
          <w:szCs w:val="22"/>
        </w:rPr>
      </w:pPr>
    </w:p>
    <w:p w14:paraId="6372AF73" w14:textId="77777777" w:rsidR="00CE5294" w:rsidRDefault="00CE5294" w:rsidP="00CE5294">
      <w:pPr>
        <w:pStyle w:val="m8865788025647841653msolistparagraph"/>
        <w:shd w:val="clear" w:color="auto" w:fill="FFFFFF"/>
        <w:spacing w:before="0" w:beforeAutospacing="0" w:after="0" w:afterAutospacing="0" w:line="360" w:lineRule="auto"/>
        <w:jc w:val="both"/>
        <w:rPr>
          <w:rFonts w:ascii="Arial" w:hAnsi="Arial" w:cs="Arial"/>
          <w:color w:val="000000" w:themeColor="text1"/>
          <w:sz w:val="22"/>
          <w:szCs w:val="22"/>
        </w:rPr>
      </w:pPr>
    </w:p>
    <w:p w14:paraId="41C1B19C" w14:textId="77777777" w:rsidR="00CE5294" w:rsidRPr="00CF056D" w:rsidRDefault="00CE5294" w:rsidP="00CE5294">
      <w:pPr>
        <w:pStyle w:val="m8865788025647841653msolistparagraph"/>
        <w:shd w:val="clear" w:color="auto" w:fill="FFFFFF"/>
        <w:spacing w:before="0" w:beforeAutospacing="0" w:after="0" w:afterAutospacing="0" w:line="360" w:lineRule="auto"/>
        <w:jc w:val="both"/>
        <w:rPr>
          <w:rFonts w:ascii="Arial" w:hAnsi="Arial" w:cs="Arial"/>
          <w:color w:val="000000" w:themeColor="text1"/>
          <w:sz w:val="22"/>
          <w:szCs w:val="22"/>
        </w:rPr>
      </w:pPr>
    </w:p>
    <w:p w14:paraId="3EC7778D" w14:textId="77777777" w:rsidR="00CE5294" w:rsidRPr="00CF056D" w:rsidRDefault="00CE5294" w:rsidP="00CE5294">
      <w:pPr>
        <w:spacing w:after="0"/>
        <w:jc w:val="left"/>
        <w:rPr>
          <w:rFonts w:eastAsia="Times New Roman" w:cs="Arial"/>
          <w:lang w:eastAsia="de-DE"/>
        </w:rPr>
      </w:pPr>
      <w:r w:rsidRPr="00CF056D">
        <w:rPr>
          <w:rFonts w:eastAsia="Times New Roman" w:cs="Arial"/>
          <w:highlight w:val="green"/>
          <w:lang w:eastAsia="de-DE"/>
        </w:rPr>
        <w:t>ORT</w:t>
      </w:r>
      <w:r w:rsidRPr="00CF056D">
        <w:rPr>
          <w:rFonts w:eastAsia="Times New Roman" w:cs="Arial"/>
          <w:lang w:eastAsia="de-DE"/>
        </w:rPr>
        <w:t xml:space="preserve">, den </w:t>
      </w:r>
      <w:r w:rsidRPr="00CF056D">
        <w:rPr>
          <w:rFonts w:eastAsia="Times New Roman" w:cs="Arial"/>
          <w:highlight w:val="green"/>
          <w:lang w:eastAsia="de-DE"/>
        </w:rPr>
        <w:t>DATUM</w:t>
      </w:r>
    </w:p>
    <w:p w14:paraId="054239D0" w14:textId="77777777" w:rsidR="00CE5294" w:rsidRPr="00CF056D" w:rsidRDefault="00CE5294" w:rsidP="00CE5294">
      <w:pPr>
        <w:tabs>
          <w:tab w:val="right" w:pos="2414"/>
        </w:tabs>
        <w:spacing w:after="0"/>
        <w:jc w:val="left"/>
        <w:rPr>
          <w:rFonts w:eastAsia="Times New Roman" w:cs="Arial"/>
          <w:lang w:eastAsia="de-DE"/>
        </w:rPr>
      </w:pPr>
    </w:p>
    <w:p w14:paraId="58B08F04" w14:textId="77777777" w:rsidR="00CE5294" w:rsidRPr="00CF056D" w:rsidRDefault="00CE5294" w:rsidP="00CE5294">
      <w:pPr>
        <w:tabs>
          <w:tab w:val="right" w:pos="5450"/>
        </w:tabs>
        <w:spacing w:after="0"/>
        <w:jc w:val="center"/>
        <w:rPr>
          <w:rFonts w:eastAsia="Times New Roman" w:cs="Arial"/>
          <w:lang w:eastAsia="de-DE"/>
        </w:rPr>
      </w:pPr>
      <w:r w:rsidRPr="00CF056D">
        <w:rPr>
          <w:rFonts w:eastAsia="Times New Roman" w:cs="Arial"/>
          <w:highlight w:val="green"/>
          <w:lang w:eastAsia="de-DE"/>
        </w:rPr>
        <w:t>UNTERNEHMEN</w:t>
      </w:r>
      <w:r w:rsidRPr="00CF056D">
        <w:rPr>
          <w:rFonts w:eastAsia="Times New Roman" w:cs="Arial"/>
          <w:lang w:eastAsia="de-DE"/>
        </w:rPr>
        <w:t xml:space="preserve"> </w:t>
      </w:r>
    </w:p>
    <w:p w14:paraId="086B7DF9" w14:textId="77777777" w:rsidR="00CE5294" w:rsidRPr="00CF056D" w:rsidRDefault="00CE5294" w:rsidP="00CE5294">
      <w:pPr>
        <w:tabs>
          <w:tab w:val="right" w:pos="5741"/>
        </w:tabs>
        <w:spacing w:after="0"/>
        <w:jc w:val="center"/>
        <w:rPr>
          <w:rFonts w:eastAsia="Times New Roman" w:cs="Arial"/>
          <w:lang w:eastAsia="de-DE"/>
        </w:rPr>
      </w:pPr>
    </w:p>
    <w:p w14:paraId="1ECC740E" w14:textId="77777777" w:rsidR="00CE5294" w:rsidRPr="00CF056D" w:rsidRDefault="00CE5294" w:rsidP="00CE5294">
      <w:pPr>
        <w:tabs>
          <w:tab w:val="right" w:pos="5741"/>
        </w:tabs>
        <w:spacing w:after="0"/>
        <w:jc w:val="center"/>
        <w:rPr>
          <w:rFonts w:eastAsia="Times New Roman" w:cs="Arial"/>
          <w:lang w:eastAsia="de-DE"/>
        </w:rPr>
      </w:pPr>
    </w:p>
    <w:p w14:paraId="248CF236" w14:textId="77777777" w:rsidR="00CE5294" w:rsidRPr="00CF056D" w:rsidRDefault="00CE5294" w:rsidP="00CE5294">
      <w:pPr>
        <w:tabs>
          <w:tab w:val="right" w:pos="5741"/>
        </w:tabs>
        <w:spacing w:after="0"/>
        <w:jc w:val="center"/>
        <w:rPr>
          <w:rFonts w:eastAsia="Times New Roman" w:cs="Arial"/>
          <w:lang w:eastAsia="de-DE"/>
        </w:rPr>
      </w:pPr>
    </w:p>
    <w:p w14:paraId="4E34D323" w14:textId="77777777" w:rsidR="00CE5294" w:rsidRPr="00CF056D" w:rsidRDefault="00CE5294" w:rsidP="00CE5294">
      <w:pPr>
        <w:tabs>
          <w:tab w:val="right" w:pos="5741"/>
        </w:tabs>
        <w:spacing w:after="0"/>
        <w:jc w:val="center"/>
        <w:rPr>
          <w:rFonts w:eastAsia="Times New Roman" w:cs="Arial"/>
          <w:lang w:eastAsia="de-DE"/>
        </w:rPr>
      </w:pPr>
      <w:r w:rsidRPr="00CF056D">
        <w:rPr>
          <w:rFonts w:eastAsia="Times New Roman" w:cs="Arial"/>
          <w:lang w:eastAsia="de-DE"/>
        </w:rPr>
        <w:noBreakHyphen/>
        <w:t xml:space="preserve"> Geschäftsführung </w:t>
      </w:r>
      <w:r w:rsidRPr="00CF056D">
        <w:rPr>
          <w:rFonts w:eastAsia="Times New Roman" w:cs="Arial"/>
          <w:lang w:eastAsia="de-DE"/>
        </w:rPr>
        <w:noBreakHyphen/>
      </w:r>
    </w:p>
    <w:p w14:paraId="5B94D788" w14:textId="77777777" w:rsidR="00CE5294" w:rsidRPr="00CF056D" w:rsidRDefault="00CE5294" w:rsidP="00CE5294">
      <w:pPr>
        <w:tabs>
          <w:tab w:val="left" w:pos="6296"/>
          <w:tab w:val="right" w:pos="8798"/>
        </w:tabs>
        <w:spacing w:after="0"/>
        <w:jc w:val="left"/>
        <w:rPr>
          <w:rFonts w:eastAsia="Times New Roman" w:cs="Arial"/>
          <w:lang w:eastAsia="de-DE"/>
        </w:rPr>
      </w:pPr>
    </w:p>
    <w:p w14:paraId="781D52DF" w14:textId="77777777" w:rsidR="00CE5294" w:rsidRDefault="00CE5294" w:rsidP="00CE5294">
      <w:pPr>
        <w:tabs>
          <w:tab w:val="left" w:pos="6296"/>
          <w:tab w:val="right" w:pos="8798"/>
        </w:tabs>
        <w:spacing w:after="0"/>
        <w:jc w:val="center"/>
        <w:rPr>
          <w:rFonts w:eastAsia="Times New Roman" w:cs="Arial"/>
          <w:highlight w:val="green"/>
          <w:lang w:eastAsia="de-DE"/>
        </w:rPr>
      </w:pPr>
      <w:r w:rsidRPr="00CF056D">
        <w:rPr>
          <w:rFonts w:eastAsia="Times New Roman" w:cs="Arial"/>
          <w:lang w:eastAsia="de-DE"/>
        </w:rPr>
        <w:t xml:space="preserve">gez. </w:t>
      </w:r>
      <w:bookmarkStart w:id="1" w:name="AdContent_PR_RVerh"/>
      <w:bookmarkEnd w:id="1"/>
      <w:r w:rsidRPr="00CF056D">
        <w:rPr>
          <w:rFonts w:eastAsia="Times New Roman" w:cs="Arial"/>
          <w:highlight w:val="green"/>
          <w:lang w:eastAsia="de-DE"/>
        </w:rPr>
        <w:t>GESCHÄFTSFÜHRER</w:t>
      </w:r>
    </w:p>
    <w:p w14:paraId="18012662" w14:textId="4BE44E7F" w:rsidR="00CE5294" w:rsidRDefault="00CE5294">
      <w:pPr>
        <w:spacing w:after="160" w:line="259" w:lineRule="auto"/>
        <w:jc w:val="left"/>
        <w:rPr>
          <w:rFonts w:eastAsia="Times New Roman" w:cs="Arial"/>
          <w:highlight w:val="green"/>
          <w:lang w:eastAsia="de-DE"/>
        </w:rPr>
      </w:pPr>
      <w:r>
        <w:rPr>
          <w:rFonts w:eastAsia="Times New Roman" w:cs="Arial"/>
          <w:highlight w:val="green"/>
          <w:lang w:eastAsia="de-DE"/>
        </w:rPr>
        <w:br w:type="page"/>
      </w:r>
    </w:p>
    <w:p w14:paraId="0DBAEE31" w14:textId="77777777" w:rsidR="00CE5294" w:rsidRPr="00CE5294" w:rsidRDefault="00CE5294" w:rsidP="00CE5294">
      <w:pPr>
        <w:spacing w:before="360" w:after="0"/>
        <w:rPr>
          <w:rFonts w:cs="Arial"/>
          <w:b/>
          <w:bCs/>
          <w:color w:val="1E2445"/>
          <w:sz w:val="24"/>
          <w:szCs w:val="24"/>
        </w:rPr>
      </w:pPr>
      <w:r w:rsidRPr="00CE5294">
        <w:rPr>
          <w:rFonts w:cs="Arial"/>
          <w:b/>
          <w:bCs/>
          <w:color w:val="1E2445"/>
          <w:sz w:val="24"/>
          <w:szCs w:val="24"/>
        </w:rPr>
        <w:lastRenderedPageBreak/>
        <w:t>Quellenangaben</w:t>
      </w:r>
    </w:p>
    <w:p w14:paraId="575086D2" w14:textId="0228283A" w:rsidR="00CE5294" w:rsidRPr="00954CB1" w:rsidRDefault="00CE5294" w:rsidP="00CE5294">
      <w:pPr>
        <w:spacing w:after="0" w:line="240" w:lineRule="auto"/>
        <w:rPr>
          <w:rFonts w:eastAsia="Calibri" w:cs="Times New Roman"/>
          <w:sz w:val="20"/>
        </w:rPr>
      </w:pPr>
      <w:proofErr w:type="spellStart"/>
      <w:r w:rsidRPr="00954CB1">
        <w:rPr>
          <w:rFonts w:eastAsia="Calibri" w:cs="Times New Roman"/>
          <w:sz w:val="20"/>
        </w:rPr>
        <w:t>acea</w:t>
      </w:r>
      <w:proofErr w:type="spellEnd"/>
      <w:r w:rsidRPr="00954CB1">
        <w:rPr>
          <w:rFonts w:eastAsia="Calibri" w:cs="Times New Roman"/>
          <w:sz w:val="20"/>
        </w:rPr>
        <w:t xml:space="preserve"> (2025a), New </w:t>
      </w:r>
      <w:proofErr w:type="spellStart"/>
      <w:r w:rsidRPr="00954CB1">
        <w:rPr>
          <w:rFonts w:eastAsia="Calibri" w:cs="Times New Roman"/>
          <w:sz w:val="20"/>
        </w:rPr>
        <w:t>car</w:t>
      </w:r>
      <w:proofErr w:type="spellEnd"/>
      <w:r w:rsidRPr="00954CB1">
        <w:rPr>
          <w:rFonts w:eastAsia="Calibri" w:cs="Times New Roman"/>
          <w:sz w:val="20"/>
        </w:rPr>
        <w:t xml:space="preserve"> </w:t>
      </w:r>
      <w:proofErr w:type="spellStart"/>
      <w:r w:rsidRPr="00954CB1">
        <w:rPr>
          <w:rFonts w:eastAsia="Calibri" w:cs="Times New Roman"/>
          <w:sz w:val="20"/>
        </w:rPr>
        <w:t>registrations</w:t>
      </w:r>
      <w:proofErr w:type="spellEnd"/>
      <w:r w:rsidRPr="00954CB1">
        <w:rPr>
          <w:rFonts w:eastAsia="Calibri" w:cs="Times New Roman"/>
          <w:sz w:val="20"/>
        </w:rPr>
        <w:t>: +0.8</w:t>
      </w:r>
      <w:r w:rsidR="008F658F" w:rsidRPr="00954CB1">
        <w:rPr>
          <w:rFonts w:eastAsia="Calibri" w:cs="Times New Roman"/>
          <w:sz w:val="20"/>
        </w:rPr>
        <w:t>%</w:t>
      </w:r>
      <w:r w:rsidRPr="00954CB1">
        <w:rPr>
          <w:rFonts w:eastAsia="Calibri" w:cs="Times New Roman"/>
          <w:sz w:val="20"/>
        </w:rPr>
        <w:t xml:space="preserve"> in 2024; </w:t>
      </w:r>
      <w:proofErr w:type="spellStart"/>
      <w:r w:rsidRPr="00954CB1">
        <w:rPr>
          <w:rFonts w:eastAsia="Calibri" w:cs="Times New Roman"/>
          <w:sz w:val="20"/>
        </w:rPr>
        <w:t>battery-electric</w:t>
      </w:r>
      <w:proofErr w:type="spellEnd"/>
      <w:r w:rsidRPr="00954CB1">
        <w:rPr>
          <w:rFonts w:eastAsia="Calibri" w:cs="Times New Roman"/>
          <w:sz w:val="20"/>
        </w:rPr>
        <w:t xml:space="preserve"> 13.6</w:t>
      </w:r>
      <w:r w:rsidR="008F658F" w:rsidRPr="00954CB1">
        <w:rPr>
          <w:rFonts w:eastAsia="Calibri" w:cs="Times New Roman"/>
          <w:sz w:val="20"/>
        </w:rPr>
        <w:t>%</w:t>
      </w:r>
      <w:r w:rsidRPr="00954CB1">
        <w:rPr>
          <w:rFonts w:eastAsia="Calibri" w:cs="Times New Roman"/>
          <w:sz w:val="20"/>
        </w:rPr>
        <w:t xml:space="preserve"> </w:t>
      </w:r>
      <w:proofErr w:type="spellStart"/>
      <w:r w:rsidRPr="00954CB1">
        <w:rPr>
          <w:rFonts w:eastAsia="Calibri" w:cs="Times New Roman"/>
          <w:sz w:val="20"/>
        </w:rPr>
        <w:t>market</w:t>
      </w:r>
      <w:proofErr w:type="spellEnd"/>
      <w:r w:rsidRPr="00954CB1">
        <w:rPr>
          <w:rFonts w:eastAsia="Calibri" w:cs="Times New Roman"/>
          <w:sz w:val="20"/>
        </w:rPr>
        <w:t xml:space="preserve"> </w:t>
      </w:r>
      <w:proofErr w:type="spellStart"/>
      <w:r w:rsidRPr="00954CB1">
        <w:rPr>
          <w:rFonts w:eastAsia="Calibri" w:cs="Times New Roman"/>
          <w:sz w:val="20"/>
        </w:rPr>
        <w:t>share</w:t>
      </w:r>
      <w:proofErr w:type="spellEnd"/>
      <w:r w:rsidRPr="00954CB1">
        <w:rPr>
          <w:rFonts w:eastAsia="Calibri" w:cs="Times New Roman"/>
          <w:sz w:val="20"/>
        </w:rPr>
        <w:t xml:space="preserve">, Januar 2025 </w:t>
      </w:r>
    </w:p>
    <w:p w14:paraId="475108E5" w14:textId="77777777" w:rsidR="00CE5294" w:rsidRPr="00230A83" w:rsidRDefault="00CE5294" w:rsidP="00CE5294">
      <w:pPr>
        <w:spacing w:after="160" w:line="240" w:lineRule="auto"/>
        <w:rPr>
          <w:rFonts w:eastAsia="Calibri" w:cs="Times New Roman"/>
          <w:sz w:val="20"/>
        </w:rPr>
      </w:pPr>
      <w:hyperlink r:id="rId23" w:history="1">
        <w:r w:rsidRPr="00230A83">
          <w:rPr>
            <w:rFonts w:eastAsia="Calibri" w:cs="Times New Roman"/>
            <w:color w:val="0000FF"/>
            <w:sz w:val="20"/>
            <w:u w:val="single"/>
          </w:rPr>
          <w:t>https://www.acea.auto/files/Press_release_car_registrations_December_2024.pdf</w:t>
        </w:r>
      </w:hyperlink>
    </w:p>
    <w:p w14:paraId="5B2B4955" w14:textId="1825847B" w:rsidR="008F658F" w:rsidRDefault="00CE5294" w:rsidP="00CE5294">
      <w:pPr>
        <w:spacing w:after="160" w:line="240" w:lineRule="auto"/>
        <w:rPr>
          <w:rFonts w:eastAsia="Calibri" w:cs="Times New Roman"/>
          <w:color w:val="FF0000"/>
          <w:sz w:val="20"/>
          <w:lang w:val="en-GB"/>
        </w:rPr>
      </w:pPr>
      <w:proofErr w:type="spellStart"/>
      <w:r w:rsidRPr="008F658F">
        <w:rPr>
          <w:rFonts w:eastAsia="Calibri" w:cs="Times New Roman"/>
          <w:sz w:val="20"/>
          <w:lang w:val="en-GB"/>
        </w:rPr>
        <w:t>acea</w:t>
      </w:r>
      <w:proofErr w:type="spellEnd"/>
      <w:r w:rsidRPr="008F658F">
        <w:rPr>
          <w:rFonts w:eastAsia="Calibri" w:cs="Times New Roman"/>
          <w:sz w:val="20"/>
          <w:lang w:val="en-GB"/>
        </w:rPr>
        <w:t xml:space="preserve"> (2025</w:t>
      </w:r>
      <w:r w:rsidR="008F658F">
        <w:rPr>
          <w:rFonts w:eastAsia="Calibri" w:cs="Times New Roman"/>
          <w:sz w:val="20"/>
          <w:lang w:val="en-GB"/>
        </w:rPr>
        <w:t>b</w:t>
      </w:r>
      <w:r w:rsidRPr="008F658F">
        <w:rPr>
          <w:rFonts w:eastAsia="Calibri" w:cs="Times New Roman"/>
          <w:sz w:val="20"/>
          <w:lang w:val="en-GB"/>
        </w:rPr>
        <w:t>), New commercial vehicle registrations: vans +8.3</w:t>
      </w:r>
      <w:r w:rsidR="008F658F" w:rsidRPr="008F658F">
        <w:rPr>
          <w:rFonts w:eastAsia="Calibri" w:cs="Times New Roman"/>
          <w:sz w:val="20"/>
          <w:lang w:val="en-GB"/>
        </w:rPr>
        <w:t>%</w:t>
      </w:r>
      <w:r w:rsidRPr="008F658F">
        <w:rPr>
          <w:rFonts w:eastAsia="Calibri" w:cs="Times New Roman"/>
          <w:sz w:val="20"/>
          <w:lang w:val="en-GB"/>
        </w:rPr>
        <w:t>, trucks -6.3</w:t>
      </w:r>
      <w:r w:rsidR="008F658F" w:rsidRPr="008F658F">
        <w:rPr>
          <w:rFonts w:eastAsia="Calibri" w:cs="Times New Roman"/>
          <w:sz w:val="20"/>
          <w:lang w:val="en-GB"/>
        </w:rPr>
        <w:t>%</w:t>
      </w:r>
      <w:r w:rsidRPr="008F658F">
        <w:rPr>
          <w:rFonts w:eastAsia="Calibri" w:cs="Times New Roman"/>
          <w:sz w:val="20"/>
          <w:lang w:val="en-GB"/>
        </w:rPr>
        <w:t>, buses +9.2</w:t>
      </w:r>
      <w:r w:rsidR="008F658F" w:rsidRPr="008F658F">
        <w:rPr>
          <w:rFonts w:eastAsia="Calibri" w:cs="Times New Roman"/>
          <w:sz w:val="20"/>
          <w:lang w:val="en-GB"/>
        </w:rPr>
        <w:t>%</w:t>
      </w:r>
      <w:r w:rsidRPr="008F658F">
        <w:rPr>
          <w:rFonts w:eastAsia="Calibri" w:cs="Times New Roman"/>
          <w:sz w:val="20"/>
          <w:lang w:val="en-GB"/>
        </w:rPr>
        <w:t xml:space="preserve"> in 2024, </w:t>
      </w:r>
      <w:proofErr w:type="spellStart"/>
      <w:r w:rsidRPr="008F658F">
        <w:rPr>
          <w:rFonts w:eastAsia="Calibri" w:cs="Times New Roman"/>
          <w:sz w:val="20"/>
          <w:lang w:val="en-GB"/>
        </w:rPr>
        <w:t>Januar</w:t>
      </w:r>
      <w:proofErr w:type="spellEnd"/>
      <w:r w:rsidRPr="008F658F">
        <w:rPr>
          <w:rFonts w:eastAsia="Calibri" w:cs="Times New Roman"/>
          <w:sz w:val="20"/>
          <w:lang w:val="en-GB"/>
        </w:rPr>
        <w:t xml:space="preserve"> 2025</w:t>
      </w:r>
      <w:r w:rsidR="008F658F">
        <w:rPr>
          <w:rFonts w:eastAsia="Calibri" w:cs="Times New Roman"/>
          <w:color w:val="FF0000"/>
          <w:sz w:val="20"/>
          <w:lang w:val="en-GB"/>
        </w:rPr>
        <w:br/>
      </w:r>
      <w:hyperlink r:id="rId24" w:history="1">
        <w:r w:rsidR="008F658F" w:rsidRPr="008F658F">
          <w:rPr>
            <w:color w:val="0000FF"/>
            <w:sz w:val="20"/>
            <w:szCs w:val="20"/>
            <w:u w:val="single"/>
            <w:lang w:val="en-GB"/>
          </w:rPr>
          <w:t>https://www.acea.auto/files/Press_release_commercial_vehicle_registrations_2024.pdf</w:t>
        </w:r>
      </w:hyperlink>
    </w:p>
    <w:p w14:paraId="455368FE" w14:textId="77777777" w:rsidR="00CE5294" w:rsidRPr="00CE5294" w:rsidRDefault="00CE5294" w:rsidP="00CE5294">
      <w:pPr>
        <w:spacing w:after="0" w:line="240" w:lineRule="auto"/>
        <w:rPr>
          <w:rFonts w:eastAsia="Calibri" w:cs="Times New Roman"/>
          <w:sz w:val="20"/>
        </w:rPr>
      </w:pPr>
      <w:r w:rsidRPr="00CE5294">
        <w:rPr>
          <w:rFonts w:eastAsia="Calibri" w:cs="Times New Roman"/>
          <w:sz w:val="20"/>
        </w:rPr>
        <w:t xml:space="preserve">Bayerisches Staatsministerium für Umwelt und Verbraucherschutz, Der VSME-Standard, Dezember 2024 </w:t>
      </w:r>
    </w:p>
    <w:p w14:paraId="2BEFABF8" w14:textId="77777777" w:rsidR="00CE5294" w:rsidRPr="00CE5294" w:rsidRDefault="00CE5294" w:rsidP="00CE5294">
      <w:pPr>
        <w:spacing w:after="160" w:line="240" w:lineRule="auto"/>
        <w:rPr>
          <w:rFonts w:eastAsia="Calibri" w:cs="Times New Roman"/>
          <w:sz w:val="20"/>
        </w:rPr>
      </w:pPr>
      <w:hyperlink r:id="rId25" w:history="1">
        <w:r w:rsidRPr="00CE5294">
          <w:rPr>
            <w:rFonts w:eastAsia="Calibri" w:cs="Times New Roman"/>
            <w:color w:val="0000FF"/>
            <w:sz w:val="20"/>
            <w:u w:val="single"/>
          </w:rPr>
          <w:t>https://www.umweltpakt.bayern.de/nachhaltigkeit/fachwissen/420/der-vsme-standard</w:t>
        </w:r>
      </w:hyperlink>
    </w:p>
    <w:p w14:paraId="24A51ED0" w14:textId="77777777" w:rsidR="00CE5294" w:rsidRPr="00CE5294" w:rsidRDefault="00CE5294" w:rsidP="00CE5294">
      <w:pPr>
        <w:spacing w:after="0" w:line="240" w:lineRule="auto"/>
        <w:rPr>
          <w:rFonts w:eastAsia="Calibri" w:cs="Times New Roman"/>
          <w:sz w:val="20"/>
        </w:rPr>
      </w:pPr>
      <w:r w:rsidRPr="00CE5294">
        <w:rPr>
          <w:rFonts w:eastAsia="Calibri" w:cs="Times New Roman"/>
          <w:sz w:val="20"/>
        </w:rPr>
        <w:t xml:space="preserve">BDI (2025), Eine neue Agenda für Wachstum, Januar 2025 </w:t>
      </w:r>
    </w:p>
    <w:p w14:paraId="6D9BE39B" w14:textId="77777777" w:rsidR="00CE5294" w:rsidRPr="00CE5294" w:rsidRDefault="00CE5294" w:rsidP="00CE5294">
      <w:pPr>
        <w:spacing w:after="160" w:line="240" w:lineRule="auto"/>
        <w:rPr>
          <w:rFonts w:eastAsia="Calibri" w:cs="Times New Roman"/>
          <w:color w:val="0000FF"/>
          <w:sz w:val="20"/>
          <w:u w:val="single"/>
        </w:rPr>
      </w:pPr>
      <w:hyperlink r:id="rId26" w:history="1">
        <w:r w:rsidRPr="00CE5294">
          <w:rPr>
            <w:rFonts w:eastAsia="Calibri" w:cs="Times New Roman"/>
            <w:color w:val="0000FF"/>
            <w:sz w:val="20"/>
            <w:u w:val="single"/>
          </w:rPr>
          <w:t>https://bdi.eu/wachstumwaehlen-bdi-forderungen-zur-bundestagswahl</w:t>
        </w:r>
      </w:hyperlink>
    </w:p>
    <w:p w14:paraId="1077AD8B" w14:textId="77777777" w:rsidR="00CE5294" w:rsidRPr="00CE5294" w:rsidRDefault="00CE5294" w:rsidP="00CE5294">
      <w:pPr>
        <w:spacing w:after="160" w:line="240" w:lineRule="auto"/>
        <w:rPr>
          <w:rFonts w:eastAsia="Calibri" w:cs="Times New Roman"/>
          <w:sz w:val="20"/>
        </w:rPr>
      </w:pPr>
      <w:r w:rsidRPr="00CE5294">
        <w:rPr>
          <w:rFonts w:eastAsia="Calibri" w:cs="Times New Roman"/>
          <w:sz w:val="20"/>
        </w:rPr>
        <w:t>BMWK (2025), Jahreswirtschaftsbericht 2025 – Für eine neue wirtschaftliche Dynamik, Januar 2025</w:t>
      </w:r>
    </w:p>
    <w:p w14:paraId="5A496744" w14:textId="77777777" w:rsidR="00CE5294" w:rsidRPr="00CE5294" w:rsidRDefault="00CE5294" w:rsidP="00CE5294">
      <w:pPr>
        <w:spacing w:after="0" w:line="240" w:lineRule="auto"/>
        <w:rPr>
          <w:rFonts w:eastAsia="Calibri" w:cs="Times New Roman"/>
          <w:sz w:val="20"/>
        </w:rPr>
      </w:pPr>
      <w:r w:rsidRPr="00CE5294">
        <w:rPr>
          <w:rFonts w:eastAsia="Calibri" w:cs="Times New Roman"/>
          <w:sz w:val="20"/>
        </w:rPr>
        <w:t xml:space="preserve">Bundesagentur für Arbeit (2025a), Jahresrückblick 2024, Januar 2025 </w:t>
      </w:r>
    </w:p>
    <w:p w14:paraId="4D0B7744" w14:textId="77777777" w:rsidR="00CE5294" w:rsidRPr="00CE5294" w:rsidRDefault="00CE5294" w:rsidP="00CE5294">
      <w:pPr>
        <w:spacing w:after="160" w:line="240" w:lineRule="auto"/>
        <w:rPr>
          <w:rFonts w:eastAsia="Calibri" w:cs="Times New Roman"/>
          <w:color w:val="0000FF"/>
          <w:sz w:val="20"/>
          <w:u w:val="single"/>
        </w:rPr>
      </w:pPr>
      <w:hyperlink r:id="rId27" w:history="1">
        <w:r w:rsidRPr="00CE5294">
          <w:rPr>
            <w:rFonts w:eastAsia="Calibri" w:cs="Times New Roman"/>
            <w:color w:val="0000FF"/>
            <w:sz w:val="20"/>
            <w:u w:val="single"/>
          </w:rPr>
          <w:t>https://www.arbeitsagentur.de/presse/2025-02-jahresrueckblick-2024</w:t>
        </w:r>
      </w:hyperlink>
    </w:p>
    <w:p w14:paraId="7CA753FA" w14:textId="4498FE85" w:rsidR="00CE5294" w:rsidRDefault="00CE5294" w:rsidP="00CE5294">
      <w:pPr>
        <w:spacing w:after="160" w:line="240" w:lineRule="auto"/>
        <w:rPr>
          <w:rFonts w:eastAsia="Calibri" w:cs="Times New Roman"/>
          <w:sz w:val="20"/>
        </w:rPr>
      </w:pPr>
      <w:r w:rsidRPr="00CE5294">
        <w:rPr>
          <w:rFonts w:eastAsia="Calibri" w:cs="Times New Roman"/>
          <w:sz w:val="20"/>
        </w:rPr>
        <w:t>Bundesagentur für Arbeit (2025</w:t>
      </w:r>
      <w:r w:rsidR="003C090E">
        <w:rPr>
          <w:rFonts w:eastAsia="Calibri" w:cs="Times New Roman"/>
          <w:sz w:val="20"/>
        </w:rPr>
        <w:t>b</w:t>
      </w:r>
      <w:r w:rsidRPr="00CE5294">
        <w:rPr>
          <w:rFonts w:eastAsia="Calibri" w:cs="Times New Roman"/>
          <w:sz w:val="20"/>
        </w:rPr>
        <w:t xml:space="preserve">), Realisierte Kurzarbeit (hochgerechnet) (Monatszahlen), </w:t>
      </w:r>
      <w:r w:rsidR="003C090E">
        <w:rPr>
          <w:rFonts w:eastAsia="Calibri" w:cs="Times New Roman"/>
          <w:sz w:val="20"/>
        </w:rPr>
        <w:t>März</w:t>
      </w:r>
      <w:r w:rsidRPr="00CE5294">
        <w:rPr>
          <w:rFonts w:eastAsia="Calibri" w:cs="Times New Roman"/>
          <w:sz w:val="20"/>
        </w:rPr>
        <w:t xml:space="preserve"> 2025</w:t>
      </w:r>
    </w:p>
    <w:p w14:paraId="442DD5BD" w14:textId="76A21576" w:rsidR="00D6098F" w:rsidRDefault="00D6098F" w:rsidP="00D6098F">
      <w:pPr>
        <w:spacing w:after="0" w:line="240" w:lineRule="auto"/>
        <w:rPr>
          <w:rFonts w:eastAsia="Calibri" w:cs="Times New Roman"/>
          <w:sz w:val="20"/>
        </w:rPr>
      </w:pPr>
      <w:r>
        <w:rPr>
          <w:rFonts w:eastAsia="Calibri" w:cs="Times New Roman"/>
          <w:sz w:val="20"/>
        </w:rPr>
        <w:t xml:space="preserve">Bundestag (2025), </w:t>
      </w:r>
      <w:r w:rsidRPr="00D6098F">
        <w:rPr>
          <w:rFonts w:eastAsia="Calibri" w:cs="Times New Roman"/>
          <w:sz w:val="20"/>
        </w:rPr>
        <w:t>Haushaltsausschuss beschließt Änderungen des Grundgesetzes</w:t>
      </w:r>
      <w:r>
        <w:rPr>
          <w:rFonts w:eastAsia="Calibri" w:cs="Times New Roman"/>
          <w:sz w:val="20"/>
        </w:rPr>
        <w:t>, März 2025</w:t>
      </w:r>
    </w:p>
    <w:p w14:paraId="7DD5AA24" w14:textId="197900E1" w:rsidR="00D6098F" w:rsidRPr="00D6098F" w:rsidRDefault="00D6098F" w:rsidP="00CE5294">
      <w:pPr>
        <w:spacing w:after="160" w:line="240" w:lineRule="auto"/>
        <w:rPr>
          <w:rFonts w:eastAsia="Calibri" w:cs="Times New Roman"/>
          <w:color w:val="0000FF"/>
          <w:sz w:val="20"/>
          <w:szCs w:val="20"/>
          <w:u w:val="single"/>
        </w:rPr>
      </w:pPr>
      <w:hyperlink r:id="rId28" w:history="1">
        <w:r w:rsidRPr="00D6098F">
          <w:rPr>
            <w:color w:val="0000FF"/>
            <w:sz w:val="20"/>
            <w:szCs w:val="20"/>
            <w:u w:val="single"/>
          </w:rPr>
          <w:t>https://www.bundestag.de/presse/hib/kurzmeldungen-1057342</w:t>
        </w:r>
      </w:hyperlink>
    </w:p>
    <w:p w14:paraId="3A4D8BAA" w14:textId="77777777" w:rsidR="00CE5294" w:rsidRPr="00CE5294" w:rsidRDefault="00CE5294" w:rsidP="00CE5294">
      <w:pPr>
        <w:spacing w:after="0" w:line="240" w:lineRule="auto"/>
        <w:rPr>
          <w:rFonts w:eastAsia="Calibri" w:cs="Times New Roman"/>
          <w:sz w:val="20"/>
        </w:rPr>
      </w:pPr>
      <w:r w:rsidRPr="00CE5294">
        <w:rPr>
          <w:rFonts w:eastAsia="Calibri" w:cs="Times New Roman"/>
          <w:sz w:val="20"/>
        </w:rPr>
        <w:t xml:space="preserve">Destatis (2025a), Bruttoinlandsprodukt 2024 für Deutschland, Januar 2025 </w:t>
      </w:r>
    </w:p>
    <w:p w14:paraId="4BF3DDB0" w14:textId="77777777" w:rsidR="00CE5294" w:rsidRPr="00CE5294" w:rsidRDefault="00CE5294" w:rsidP="00CE5294">
      <w:pPr>
        <w:spacing w:after="160" w:line="240" w:lineRule="auto"/>
        <w:rPr>
          <w:rFonts w:eastAsia="Calibri" w:cs="Times New Roman"/>
          <w:sz w:val="20"/>
        </w:rPr>
      </w:pPr>
      <w:hyperlink r:id="rId29" w:history="1">
        <w:r w:rsidRPr="00CE5294">
          <w:rPr>
            <w:rFonts w:eastAsia="Calibri" w:cs="Times New Roman"/>
            <w:color w:val="0000FF"/>
            <w:sz w:val="20"/>
            <w:u w:val="single"/>
          </w:rPr>
          <w:t>https://www.destatis.de/DE/Presse/Pressekonferenzen/2025/bip2024/statement-bip.pdf?__blob=publicationFile&amp;v=3</w:t>
        </w:r>
      </w:hyperlink>
    </w:p>
    <w:p w14:paraId="658C761D" w14:textId="32213496" w:rsidR="00CE5294" w:rsidRPr="00CE5294" w:rsidRDefault="00CE5294" w:rsidP="00CE5294">
      <w:pPr>
        <w:spacing w:after="0" w:line="240" w:lineRule="auto"/>
        <w:rPr>
          <w:rFonts w:eastAsia="Calibri" w:cs="Times New Roman"/>
          <w:sz w:val="20"/>
        </w:rPr>
      </w:pPr>
      <w:r w:rsidRPr="00CE5294">
        <w:rPr>
          <w:rFonts w:eastAsia="Calibri" w:cs="Times New Roman"/>
          <w:sz w:val="20"/>
        </w:rPr>
        <w:t xml:space="preserve">Destatis (2025b), </w:t>
      </w:r>
      <w:r w:rsidR="00911379" w:rsidRPr="00911379">
        <w:rPr>
          <w:rFonts w:eastAsia="Calibri" w:cs="Times New Roman"/>
          <w:sz w:val="20"/>
        </w:rPr>
        <w:t>Inflationsrate im Jahr 2024 bei +2,2 %</w:t>
      </w:r>
      <w:r w:rsidRPr="00CE5294">
        <w:rPr>
          <w:rFonts w:eastAsia="Calibri" w:cs="Times New Roman"/>
          <w:sz w:val="20"/>
        </w:rPr>
        <w:t xml:space="preserve">, Januar 2025 </w:t>
      </w:r>
    </w:p>
    <w:p w14:paraId="29A395C9" w14:textId="77777777" w:rsidR="00911379" w:rsidRPr="00911379" w:rsidRDefault="00911379" w:rsidP="00CE5294">
      <w:pPr>
        <w:spacing w:after="160" w:line="240" w:lineRule="auto"/>
        <w:rPr>
          <w:rFonts w:eastAsia="Calibri" w:cs="Times New Roman"/>
          <w:color w:val="0000FF"/>
          <w:sz w:val="20"/>
          <w:u w:val="single"/>
        </w:rPr>
      </w:pPr>
      <w:r w:rsidRPr="00911379">
        <w:rPr>
          <w:rFonts w:eastAsia="Calibri" w:cs="Times New Roman"/>
          <w:color w:val="0000FF"/>
          <w:sz w:val="20"/>
          <w:u w:val="single"/>
        </w:rPr>
        <w:t xml:space="preserve">https://www.destatis.de/DE/Presse/Pressemitteilungen/2025/01/PD25_020_611.html#:~:text=Januar%202025&amp;text=WIESBADEN%20%E2%80%93%20Die%20Verbraucherpreise%20in%20Deutschland,in%20den%20drei%20vorangegangenen%20Jahren. </w:t>
      </w:r>
    </w:p>
    <w:p w14:paraId="08BB4F39" w14:textId="1E70AADB" w:rsidR="00CE5294" w:rsidRPr="00CE5294" w:rsidRDefault="00CE5294" w:rsidP="00CE5294">
      <w:pPr>
        <w:spacing w:after="0" w:line="240" w:lineRule="auto"/>
        <w:rPr>
          <w:rFonts w:eastAsia="Calibri" w:cs="Times New Roman"/>
          <w:sz w:val="20"/>
        </w:rPr>
      </w:pPr>
      <w:r w:rsidRPr="00CE5294">
        <w:rPr>
          <w:rFonts w:eastAsia="Calibri" w:cs="Times New Roman"/>
          <w:sz w:val="20"/>
        </w:rPr>
        <w:t>Destatis (2025</w:t>
      </w:r>
      <w:r w:rsidR="008071CA">
        <w:rPr>
          <w:rFonts w:eastAsia="Calibri" w:cs="Times New Roman"/>
          <w:sz w:val="20"/>
        </w:rPr>
        <w:t>c</w:t>
      </w:r>
      <w:r w:rsidRPr="00CE5294">
        <w:rPr>
          <w:rFonts w:eastAsia="Calibri" w:cs="Times New Roman"/>
          <w:sz w:val="20"/>
        </w:rPr>
        <w:t xml:space="preserve">), Aus- und Einfuhr (Außenhandel): Deutschland, Monate, Warensystematik, </w:t>
      </w:r>
      <w:r w:rsidR="00B93A09">
        <w:rPr>
          <w:rFonts w:eastAsia="Calibri" w:cs="Times New Roman"/>
          <w:sz w:val="20"/>
        </w:rPr>
        <w:t>April</w:t>
      </w:r>
      <w:r w:rsidRPr="00CE5294">
        <w:rPr>
          <w:rFonts w:eastAsia="Calibri" w:cs="Times New Roman"/>
          <w:sz w:val="20"/>
        </w:rPr>
        <w:t xml:space="preserve"> 2025</w:t>
      </w:r>
    </w:p>
    <w:p w14:paraId="4491BA8C" w14:textId="1939AE58" w:rsidR="008071CA" w:rsidRPr="008071CA" w:rsidRDefault="008071CA" w:rsidP="008071CA">
      <w:pPr>
        <w:spacing w:after="160" w:line="240" w:lineRule="auto"/>
        <w:rPr>
          <w:rFonts w:eastAsia="Calibri" w:cs="Times New Roman"/>
          <w:color w:val="0000FF"/>
          <w:sz w:val="20"/>
          <w:szCs w:val="20"/>
          <w:u w:val="single"/>
        </w:rPr>
      </w:pPr>
      <w:hyperlink r:id="rId30" w:history="1">
        <w:r w:rsidRPr="008071CA">
          <w:rPr>
            <w:color w:val="0000FF"/>
            <w:sz w:val="20"/>
            <w:szCs w:val="20"/>
            <w:u w:val="single"/>
          </w:rPr>
          <w:t>https://www-genesis.destatis.de/datenbank/online/statistic/51000/table/51000-0005</w:t>
        </w:r>
      </w:hyperlink>
    </w:p>
    <w:p w14:paraId="2F3DDFEB" w14:textId="4471E62F" w:rsidR="00CE5294" w:rsidRPr="00CE5294" w:rsidRDefault="00CE5294" w:rsidP="00CE5294">
      <w:pPr>
        <w:spacing w:after="0" w:line="240" w:lineRule="auto"/>
        <w:rPr>
          <w:rFonts w:eastAsia="Calibri" w:cs="Times New Roman"/>
          <w:sz w:val="20"/>
        </w:rPr>
      </w:pPr>
      <w:r w:rsidRPr="00CE5294">
        <w:rPr>
          <w:rFonts w:eastAsia="Calibri" w:cs="Times New Roman"/>
          <w:sz w:val="20"/>
        </w:rPr>
        <w:t>Destatis (2025</w:t>
      </w:r>
      <w:r w:rsidR="00B93A09">
        <w:rPr>
          <w:rFonts w:eastAsia="Calibri" w:cs="Times New Roman"/>
          <w:sz w:val="20"/>
        </w:rPr>
        <w:t>d</w:t>
      </w:r>
      <w:r w:rsidRPr="00CE5294">
        <w:rPr>
          <w:rFonts w:eastAsia="Calibri" w:cs="Times New Roman"/>
          <w:sz w:val="20"/>
        </w:rPr>
        <w:t xml:space="preserve">), Produktionsindex für das Verarbeitende Gewerbe: Deutschland, Monate, Original- und bereinigte Daten, Wirtschaftszweige (2-/3-/4-Steller), </w:t>
      </w:r>
      <w:proofErr w:type="gramStart"/>
      <w:r w:rsidR="00B93A09">
        <w:rPr>
          <w:rFonts w:eastAsia="Calibri" w:cs="Times New Roman"/>
          <w:sz w:val="20"/>
        </w:rPr>
        <w:t xml:space="preserve">April </w:t>
      </w:r>
      <w:r w:rsidRPr="00CE5294">
        <w:rPr>
          <w:rFonts w:eastAsia="Calibri" w:cs="Times New Roman"/>
          <w:sz w:val="20"/>
        </w:rPr>
        <w:t xml:space="preserve"> 2025</w:t>
      </w:r>
      <w:proofErr w:type="gramEnd"/>
    </w:p>
    <w:p w14:paraId="73C40D77" w14:textId="77777777" w:rsidR="00CE5294" w:rsidRPr="00CE5294" w:rsidRDefault="00CE5294" w:rsidP="00CE5294">
      <w:pPr>
        <w:spacing w:after="160" w:line="240" w:lineRule="auto"/>
        <w:rPr>
          <w:rFonts w:eastAsia="Calibri" w:cs="Times New Roman"/>
          <w:color w:val="0000FF"/>
          <w:sz w:val="20"/>
          <w:u w:val="single"/>
        </w:rPr>
      </w:pPr>
      <w:hyperlink r:id="rId31" w:history="1">
        <w:r w:rsidRPr="00CE5294">
          <w:rPr>
            <w:rFonts w:eastAsia="Calibri" w:cs="Times New Roman"/>
            <w:color w:val="0000FF"/>
            <w:sz w:val="20"/>
            <w:u w:val="single"/>
          </w:rPr>
          <w:t>https://www-genesis.destatis.de/datenbank/online/statistic/42153/table/42153-0002</w:t>
        </w:r>
      </w:hyperlink>
    </w:p>
    <w:p w14:paraId="434578EE" w14:textId="3B3F3D16" w:rsidR="00CE5294" w:rsidRPr="00CE5294" w:rsidRDefault="00CE5294" w:rsidP="00CE5294">
      <w:pPr>
        <w:spacing w:after="0" w:line="240" w:lineRule="auto"/>
        <w:rPr>
          <w:rFonts w:eastAsia="Calibri" w:cs="Times New Roman"/>
          <w:sz w:val="20"/>
        </w:rPr>
      </w:pPr>
      <w:r w:rsidRPr="00CE5294">
        <w:rPr>
          <w:rFonts w:eastAsia="Calibri" w:cs="Times New Roman"/>
          <w:sz w:val="20"/>
        </w:rPr>
        <w:t>Destatis (2025</w:t>
      </w:r>
      <w:r w:rsidR="00B93A09">
        <w:rPr>
          <w:rFonts w:eastAsia="Calibri" w:cs="Times New Roman"/>
          <w:sz w:val="20"/>
        </w:rPr>
        <w:t>e</w:t>
      </w:r>
      <w:r w:rsidRPr="00CE5294">
        <w:rPr>
          <w:rFonts w:eastAsia="Calibri" w:cs="Times New Roman"/>
          <w:sz w:val="20"/>
        </w:rPr>
        <w:t xml:space="preserve">), Beschäftigte und Umsatz der Betriebe im Verarbeitenden Gewerbe: Deutschland, Monate, Wirtschaftszweige (WZ2008 2-/3-/4-Steller), </w:t>
      </w:r>
      <w:r w:rsidR="00B93A09">
        <w:rPr>
          <w:rFonts w:eastAsia="Calibri" w:cs="Times New Roman"/>
          <w:sz w:val="20"/>
        </w:rPr>
        <w:t>April</w:t>
      </w:r>
      <w:r w:rsidRPr="00CE5294">
        <w:rPr>
          <w:rFonts w:eastAsia="Calibri" w:cs="Times New Roman"/>
          <w:sz w:val="20"/>
        </w:rPr>
        <w:t xml:space="preserve"> 2025</w:t>
      </w:r>
    </w:p>
    <w:p w14:paraId="5B3D0F1C" w14:textId="77777777" w:rsidR="00CE5294" w:rsidRPr="00CE5294" w:rsidRDefault="00CE5294" w:rsidP="00CE5294">
      <w:pPr>
        <w:spacing w:after="160" w:line="240" w:lineRule="auto"/>
        <w:rPr>
          <w:rFonts w:eastAsia="Calibri" w:cs="Times New Roman"/>
          <w:color w:val="0000FF"/>
          <w:sz w:val="20"/>
          <w:u w:val="single"/>
        </w:rPr>
      </w:pPr>
      <w:hyperlink r:id="rId32" w:history="1">
        <w:r w:rsidRPr="00CE5294">
          <w:rPr>
            <w:rFonts w:eastAsia="Calibri" w:cs="Times New Roman"/>
            <w:color w:val="0000FF"/>
            <w:sz w:val="20"/>
            <w:u w:val="single"/>
          </w:rPr>
          <w:t>https://www-genesis.destatis.de/datenbank/online/statistic/42111/table/42111-0004</w:t>
        </w:r>
      </w:hyperlink>
    </w:p>
    <w:p w14:paraId="50799E68" w14:textId="7442A81C" w:rsidR="00CE5294" w:rsidRPr="00CE5294" w:rsidRDefault="00CE5294" w:rsidP="00CE5294">
      <w:pPr>
        <w:spacing w:after="0" w:line="240" w:lineRule="auto"/>
        <w:rPr>
          <w:rFonts w:eastAsia="Calibri" w:cs="Times New Roman"/>
          <w:sz w:val="20"/>
        </w:rPr>
      </w:pPr>
      <w:r w:rsidRPr="00CE5294">
        <w:rPr>
          <w:rFonts w:eastAsia="Calibri" w:cs="Times New Roman"/>
          <w:sz w:val="20"/>
        </w:rPr>
        <w:t>Destatis (2025</w:t>
      </w:r>
      <w:r w:rsidR="00B93A09">
        <w:rPr>
          <w:rFonts w:eastAsia="Calibri" w:cs="Times New Roman"/>
          <w:sz w:val="20"/>
        </w:rPr>
        <w:t>f</w:t>
      </w:r>
      <w:r w:rsidRPr="00CE5294">
        <w:rPr>
          <w:rFonts w:eastAsia="Calibri" w:cs="Times New Roman"/>
          <w:sz w:val="20"/>
        </w:rPr>
        <w:t>), Auftragseingang im Verarbeitenden Gewerbe (Wertindex</w:t>
      </w:r>
      <w:proofErr w:type="gramStart"/>
      <w:r w:rsidRPr="00CE5294">
        <w:rPr>
          <w:rFonts w:eastAsia="Calibri" w:cs="Times New Roman"/>
          <w:sz w:val="20"/>
        </w:rPr>
        <w:t>):Deutschland</w:t>
      </w:r>
      <w:proofErr w:type="gramEnd"/>
      <w:r w:rsidRPr="00CE5294">
        <w:rPr>
          <w:rFonts w:eastAsia="Calibri" w:cs="Times New Roman"/>
          <w:sz w:val="20"/>
        </w:rPr>
        <w:t xml:space="preserve">, Monate, Original- und bereinigte Daten, Absatzrichtung, Wirtschaftszweige (2-/3-/4-Steller), </w:t>
      </w:r>
      <w:r w:rsidR="00B93A09">
        <w:rPr>
          <w:rFonts w:eastAsia="Calibri" w:cs="Times New Roman"/>
          <w:sz w:val="20"/>
        </w:rPr>
        <w:t>April</w:t>
      </w:r>
      <w:r w:rsidRPr="00CE5294">
        <w:rPr>
          <w:rFonts w:eastAsia="Calibri" w:cs="Times New Roman"/>
          <w:sz w:val="20"/>
        </w:rPr>
        <w:t xml:space="preserve"> 2025</w:t>
      </w:r>
    </w:p>
    <w:p w14:paraId="64BED192" w14:textId="77777777" w:rsidR="00CE5294" w:rsidRPr="00CE5294" w:rsidRDefault="00CE5294" w:rsidP="00CE5294">
      <w:pPr>
        <w:spacing w:after="160" w:line="240" w:lineRule="auto"/>
        <w:rPr>
          <w:rFonts w:eastAsia="Calibri" w:cs="Times New Roman"/>
          <w:sz w:val="20"/>
        </w:rPr>
      </w:pPr>
      <w:hyperlink r:id="rId33" w:history="1">
        <w:r w:rsidRPr="00CE5294">
          <w:rPr>
            <w:rFonts w:eastAsia="Calibri" w:cs="Times New Roman"/>
            <w:color w:val="0000FF"/>
            <w:sz w:val="20"/>
            <w:u w:val="single"/>
          </w:rPr>
          <w:t>https://www-genesis.destatis.de/datenbank/online/statistic/42151/table/42151-0002</w:t>
        </w:r>
      </w:hyperlink>
    </w:p>
    <w:p w14:paraId="077ACD6C" w14:textId="1DC262E0" w:rsidR="00CE5294" w:rsidRPr="00CE5294" w:rsidRDefault="00CE5294" w:rsidP="00CE5294">
      <w:pPr>
        <w:spacing w:after="0" w:line="240" w:lineRule="auto"/>
        <w:rPr>
          <w:rFonts w:eastAsia="Calibri" w:cs="Times New Roman"/>
          <w:sz w:val="20"/>
        </w:rPr>
      </w:pPr>
      <w:r w:rsidRPr="00CE5294">
        <w:rPr>
          <w:rFonts w:eastAsia="Calibri" w:cs="Times New Roman"/>
          <w:sz w:val="20"/>
        </w:rPr>
        <w:t>Destatis (2025</w:t>
      </w:r>
      <w:r w:rsidR="00B93A09">
        <w:rPr>
          <w:rFonts w:eastAsia="Calibri" w:cs="Times New Roman"/>
          <w:sz w:val="20"/>
        </w:rPr>
        <w:t>g</w:t>
      </w:r>
      <w:r w:rsidRPr="00CE5294">
        <w:rPr>
          <w:rFonts w:eastAsia="Calibri" w:cs="Times New Roman"/>
          <w:sz w:val="20"/>
        </w:rPr>
        <w:t xml:space="preserve">), Produktion im Verarbeitenden Gewerbe: Deutschland, Quartale, Güterverzeichnis (9-Steller), </w:t>
      </w:r>
      <w:r w:rsidR="00B93A09">
        <w:rPr>
          <w:rFonts w:eastAsia="Calibri" w:cs="Times New Roman"/>
          <w:sz w:val="20"/>
        </w:rPr>
        <w:t>April</w:t>
      </w:r>
      <w:r w:rsidRPr="00CE5294">
        <w:rPr>
          <w:rFonts w:eastAsia="Calibri" w:cs="Times New Roman"/>
          <w:sz w:val="20"/>
        </w:rPr>
        <w:t xml:space="preserve"> 2025</w:t>
      </w:r>
    </w:p>
    <w:p w14:paraId="0D27539F" w14:textId="77777777" w:rsidR="00CE5294" w:rsidRPr="00CE5294" w:rsidRDefault="00CE5294" w:rsidP="00CE5294">
      <w:pPr>
        <w:spacing w:after="160" w:line="240" w:lineRule="auto"/>
        <w:rPr>
          <w:rFonts w:eastAsia="Calibri" w:cs="Times New Roman"/>
          <w:sz w:val="20"/>
        </w:rPr>
      </w:pPr>
      <w:hyperlink r:id="rId34" w:history="1">
        <w:r w:rsidRPr="00CE5294">
          <w:rPr>
            <w:rFonts w:eastAsia="Calibri" w:cs="Times New Roman"/>
            <w:color w:val="0000FF"/>
            <w:sz w:val="20"/>
            <w:u w:val="single"/>
          </w:rPr>
          <w:t>https://www-genesis.destatis.de/datenbank/online/statistic/42131/table/42131-0002</w:t>
        </w:r>
      </w:hyperlink>
    </w:p>
    <w:p w14:paraId="38BFB4C2" w14:textId="53EC6840" w:rsidR="00CE5294" w:rsidRPr="00CE5294" w:rsidRDefault="00CE5294" w:rsidP="00CE5294">
      <w:pPr>
        <w:spacing w:after="0" w:line="240" w:lineRule="auto"/>
        <w:rPr>
          <w:rFonts w:eastAsia="Calibri" w:cs="Times New Roman"/>
          <w:sz w:val="20"/>
        </w:rPr>
      </w:pPr>
      <w:r w:rsidRPr="00CE5294">
        <w:rPr>
          <w:rFonts w:eastAsia="Calibri" w:cs="Times New Roman"/>
          <w:sz w:val="20"/>
        </w:rPr>
        <w:t>Destatis (2025</w:t>
      </w:r>
      <w:r w:rsidR="00B93A09">
        <w:rPr>
          <w:rFonts w:eastAsia="Calibri" w:cs="Times New Roman"/>
          <w:sz w:val="20"/>
        </w:rPr>
        <w:t>h</w:t>
      </w:r>
      <w:r w:rsidRPr="00CE5294">
        <w:rPr>
          <w:rFonts w:eastAsia="Calibri" w:cs="Times New Roman"/>
          <w:sz w:val="20"/>
        </w:rPr>
        <w:t xml:space="preserve">), Erzeugerpreisindex gewerblicher Produkte: Deutschland, </w:t>
      </w:r>
      <w:r w:rsidR="00A23027">
        <w:rPr>
          <w:rFonts w:eastAsia="Calibri" w:cs="Times New Roman"/>
          <w:sz w:val="20"/>
        </w:rPr>
        <w:t>Jahre</w:t>
      </w:r>
      <w:r w:rsidRPr="00CE5294">
        <w:rPr>
          <w:rFonts w:eastAsia="Calibri" w:cs="Times New Roman"/>
          <w:sz w:val="20"/>
        </w:rPr>
        <w:t xml:space="preserve">, Güterverzeichnis (GP2019 2-/3-/4-/5-/6-/9-Steller/ Sonderpositionen), </w:t>
      </w:r>
      <w:r w:rsidR="00B93A09">
        <w:rPr>
          <w:rFonts w:eastAsia="Calibri" w:cs="Times New Roman"/>
          <w:sz w:val="20"/>
        </w:rPr>
        <w:t>April</w:t>
      </w:r>
      <w:r w:rsidRPr="00CE5294">
        <w:rPr>
          <w:rFonts w:eastAsia="Calibri" w:cs="Times New Roman"/>
          <w:sz w:val="20"/>
        </w:rPr>
        <w:t xml:space="preserve"> 2025</w:t>
      </w:r>
    </w:p>
    <w:p w14:paraId="2D864095" w14:textId="2EBB7698" w:rsidR="00CE5294" w:rsidRPr="00A23027" w:rsidRDefault="00CE5294" w:rsidP="00CE5294">
      <w:pPr>
        <w:spacing w:after="160" w:line="240" w:lineRule="auto"/>
        <w:rPr>
          <w:rFonts w:eastAsia="Calibri" w:cs="Times New Roman"/>
          <w:color w:val="0000FF"/>
          <w:sz w:val="20"/>
          <w:u w:val="single"/>
        </w:rPr>
      </w:pPr>
      <w:hyperlink r:id="rId35" w:history="1">
        <w:r w:rsidRPr="00CE5294">
          <w:rPr>
            <w:rFonts w:eastAsia="Calibri" w:cs="Times New Roman"/>
            <w:color w:val="0000FF"/>
            <w:sz w:val="20"/>
            <w:u w:val="single"/>
          </w:rPr>
          <w:t>https://www-genesis.destatis.de/datenbank/online/statistic/61241/table/61241-000</w:t>
        </w:r>
      </w:hyperlink>
      <w:r w:rsidR="00A23027" w:rsidRPr="00A23027">
        <w:rPr>
          <w:rFonts w:eastAsia="Calibri" w:cs="Times New Roman"/>
          <w:color w:val="0000FF"/>
          <w:sz w:val="20"/>
          <w:u w:val="single"/>
        </w:rPr>
        <w:t>3</w:t>
      </w:r>
    </w:p>
    <w:p w14:paraId="12686042" w14:textId="7DCC8CF8" w:rsidR="00CE5294" w:rsidRPr="00CE5294" w:rsidRDefault="00CE5294" w:rsidP="00CE5294">
      <w:pPr>
        <w:spacing w:after="0" w:line="240" w:lineRule="auto"/>
        <w:rPr>
          <w:rFonts w:eastAsia="Calibri" w:cs="Arial"/>
          <w:sz w:val="20"/>
        </w:rPr>
      </w:pPr>
      <w:r w:rsidRPr="00CE5294">
        <w:rPr>
          <w:rFonts w:eastAsia="Calibri" w:cs="Arial"/>
          <w:sz w:val="20"/>
        </w:rPr>
        <w:t>Destatis (2025</w:t>
      </w:r>
      <w:r w:rsidR="00B93A09">
        <w:rPr>
          <w:rFonts w:eastAsia="Calibri" w:cs="Arial"/>
          <w:sz w:val="20"/>
        </w:rPr>
        <w:t>i</w:t>
      </w:r>
      <w:r w:rsidRPr="00CE5294">
        <w:rPr>
          <w:rFonts w:eastAsia="Calibri" w:cs="Arial"/>
          <w:sz w:val="20"/>
        </w:rPr>
        <w:t xml:space="preserve">), Aus- und Einfuhr (Außenhandel): Deutschland, Jahre, Länder, </w:t>
      </w:r>
      <w:r w:rsidR="00B93A09">
        <w:rPr>
          <w:rFonts w:eastAsia="Calibri" w:cs="Arial"/>
          <w:sz w:val="20"/>
        </w:rPr>
        <w:t>April</w:t>
      </w:r>
      <w:r w:rsidRPr="00CE5294">
        <w:rPr>
          <w:rFonts w:eastAsia="Calibri" w:cs="Arial"/>
          <w:sz w:val="20"/>
        </w:rPr>
        <w:t xml:space="preserve"> 2025</w:t>
      </w:r>
    </w:p>
    <w:p w14:paraId="49418C6F" w14:textId="77777777" w:rsidR="00CE5294" w:rsidRPr="00AA4C15" w:rsidRDefault="00CE5294" w:rsidP="00CE5294">
      <w:pPr>
        <w:spacing w:line="240" w:lineRule="auto"/>
        <w:rPr>
          <w:rFonts w:eastAsia="Calibri" w:cs="Arial"/>
          <w:sz w:val="20"/>
          <w:szCs w:val="20"/>
        </w:rPr>
      </w:pPr>
      <w:hyperlink r:id="rId36" w:history="1">
        <w:r w:rsidRPr="00AA4C15">
          <w:rPr>
            <w:rFonts w:eastAsia="Calibri" w:cs="Arial"/>
            <w:color w:val="0000FF"/>
            <w:sz w:val="20"/>
            <w:szCs w:val="20"/>
            <w:u w:val="single"/>
          </w:rPr>
          <w:t>https://www-genesis.destatis.de/datenbank/online/statistic/51000/table/51000-0003</w:t>
        </w:r>
      </w:hyperlink>
    </w:p>
    <w:p w14:paraId="2FFBCC57" w14:textId="4DA212FD" w:rsidR="00CE5294" w:rsidRPr="00AA4C15" w:rsidRDefault="00CE5294" w:rsidP="00AA4C15">
      <w:pPr>
        <w:spacing w:after="0" w:line="240" w:lineRule="auto"/>
        <w:rPr>
          <w:rFonts w:eastAsia="Calibri" w:cs="Times New Roman"/>
          <w:sz w:val="20"/>
        </w:rPr>
      </w:pPr>
      <w:r w:rsidRPr="00AA4C15">
        <w:rPr>
          <w:rFonts w:eastAsia="Calibri" w:cs="Times New Roman"/>
          <w:sz w:val="20"/>
        </w:rPr>
        <w:t xml:space="preserve">Europäische Kommission (2025), </w:t>
      </w:r>
      <w:r w:rsidR="00AA4C15" w:rsidRPr="00AA4C15">
        <w:rPr>
          <w:rFonts w:eastAsia="Calibri" w:cs="Times New Roman"/>
          <w:sz w:val="20"/>
        </w:rPr>
        <w:t>Kommission vereinfacht Vorschriften für Nachhaltigkeitsberichterstattung</w:t>
      </w:r>
      <w:r w:rsidR="00AA4C15">
        <w:rPr>
          <w:rFonts w:eastAsia="Calibri" w:cs="Times New Roman"/>
          <w:sz w:val="20"/>
        </w:rPr>
        <w:t xml:space="preserve"> </w:t>
      </w:r>
      <w:r w:rsidR="00AA4C15" w:rsidRPr="00AA4C15">
        <w:rPr>
          <w:rFonts w:eastAsia="Calibri" w:cs="Times New Roman"/>
          <w:sz w:val="20"/>
        </w:rPr>
        <w:t>und EU-Investitionen: mehr als 6 Mrd. EUR an Entlastung beim</w:t>
      </w:r>
      <w:r w:rsidR="00AA4C15">
        <w:rPr>
          <w:rFonts w:eastAsia="Calibri" w:cs="Times New Roman"/>
          <w:sz w:val="20"/>
        </w:rPr>
        <w:t xml:space="preserve"> </w:t>
      </w:r>
      <w:r w:rsidR="00AA4C15" w:rsidRPr="00AA4C15">
        <w:rPr>
          <w:rFonts w:eastAsia="Calibri" w:cs="Times New Roman"/>
          <w:sz w:val="20"/>
        </w:rPr>
        <w:t>Verwaltungsaufwand angestrebt</w:t>
      </w:r>
      <w:r w:rsidRPr="00AA4C15">
        <w:rPr>
          <w:rFonts w:eastAsia="Calibri" w:cs="Times New Roman"/>
          <w:sz w:val="20"/>
        </w:rPr>
        <w:t xml:space="preserve">, </w:t>
      </w:r>
      <w:r w:rsidR="00AA4C15">
        <w:rPr>
          <w:rFonts w:eastAsia="Calibri" w:cs="Times New Roman"/>
          <w:sz w:val="20"/>
        </w:rPr>
        <w:t>Februar</w:t>
      </w:r>
      <w:r w:rsidRPr="00AA4C15">
        <w:rPr>
          <w:rFonts w:eastAsia="Calibri" w:cs="Times New Roman"/>
          <w:sz w:val="20"/>
        </w:rPr>
        <w:t xml:space="preserve"> 2025 </w:t>
      </w:r>
    </w:p>
    <w:p w14:paraId="0E44EF98" w14:textId="5CB8D183" w:rsidR="00CE5294" w:rsidRPr="00AA4C15" w:rsidRDefault="00AA4C15" w:rsidP="00AA4C15">
      <w:pPr>
        <w:spacing w:line="240" w:lineRule="auto"/>
        <w:rPr>
          <w:rFonts w:eastAsia="Calibri" w:cs="Arial"/>
          <w:color w:val="0000FF"/>
          <w:sz w:val="20"/>
          <w:szCs w:val="20"/>
          <w:u w:val="single"/>
        </w:rPr>
      </w:pPr>
      <w:r w:rsidRPr="00AA4C15">
        <w:rPr>
          <w:rFonts w:eastAsia="Calibri" w:cs="Arial"/>
          <w:color w:val="0000FF"/>
          <w:sz w:val="20"/>
          <w:szCs w:val="20"/>
          <w:u w:val="single"/>
        </w:rPr>
        <w:t>https://ec.europa.eu/commission/presscorner/api/files/document/print/de/ip_25_614/IP_25_614_DE.pdf</w:t>
      </w:r>
    </w:p>
    <w:p w14:paraId="00CEC10A" w14:textId="0089C2EF" w:rsidR="00894085" w:rsidRPr="00894085" w:rsidRDefault="009913A9" w:rsidP="00CE5294">
      <w:pPr>
        <w:spacing w:after="160" w:line="240" w:lineRule="auto"/>
        <w:rPr>
          <w:rFonts w:eastAsia="Calibri" w:cs="Times New Roman"/>
          <w:color w:val="0000FF"/>
          <w:sz w:val="20"/>
          <w:szCs w:val="20"/>
          <w:u w:val="single"/>
        </w:rPr>
      </w:pPr>
      <w:r>
        <w:rPr>
          <w:rFonts w:eastAsia="Calibri" w:cs="Times New Roman"/>
          <w:sz w:val="20"/>
        </w:rPr>
        <w:lastRenderedPageBreak/>
        <w:t xml:space="preserve">Eurostat (2025a), </w:t>
      </w:r>
      <w:r w:rsidRPr="009913A9">
        <w:rPr>
          <w:rFonts w:eastAsia="Calibri" w:cs="Times New Roman"/>
          <w:sz w:val="20"/>
        </w:rPr>
        <w:t xml:space="preserve">Wachstumsrate des realen BIP </w:t>
      </w:r>
      <w:r>
        <w:rPr>
          <w:rFonts w:eastAsia="Calibri" w:cs="Times New Roman"/>
          <w:sz w:val="20"/>
        </w:rPr>
        <w:t>–</w:t>
      </w:r>
      <w:r w:rsidRPr="009913A9">
        <w:rPr>
          <w:rFonts w:eastAsia="Calibri" w:cs="Times New Roman"/>
          <w:sz w:val="20"/>
        </w:rPr>
        <w:t xml:space="preserve"> Volumen</w:t>
      </w:r>
      <w:r>
        <w:rPr>
          <w:rFonts w:eastAsia="Calibri" w:cs="Times New Roman"/>
          <w:sz w:val="20"/>
        </w:rPr>
        <w:t>, April 2025</w:t>
      </w:r>
      <w:r>
        <w:rPr>
          <w:rFonts w:eastAsia="Calibri" w:cs="Times New Roman"/>
          <w:sz w:val="20"/>
        </w:rPr>
        <w:br/>
      </w:r>
      <w:hyperlink r:id="rId37" w:history="1">
        <w:r w:rsidR="00894085" w:rsidRPr="00894085">
          <w:rPr>
            <w:color w:val="0000FF"/>
            <w:sz w:val="20"/>
            <w:szCs w:val="20"/>
            <w:u w:val="single"/>
          </w:rPr>
          <w:t>https://ec.europa.eu/eurostat/databrowser/view/tec00115/default/table?lang=de</w:t>
        </w:r>
      </w:hyperlink>
    </w:p>
    <w:p w14:paraId="44211D5A" w14:textId="1F8C6AA6" w:rsidR="00894085" w:rsidRDefault="00894085" w:rsidP="00CE5294">
      <w:pPr>
        <w:spacing w:after="160" w:line="240" w:lineRule="auto"/>
        <w:rPr>
          <w:rFonts w:eastAsia="Calibri" w:cs="Times New Roman"/>
          <w:sz w:val="20"/>
        </w:rPr>
      </w:pPr>
      <w:r w:rsidRPr="00894085">
        <w:rPr>
          <w:rFonts w:eastAsia="Calibri" w:cs="Times New Roman"/>
          <w:sz w:val="20"/>
        </w:rPr>
        <w:t>Eurostat (2025b), HVPI - Jährliche Daten (Durchschnittsindex und Veränderungsrate)</w:t>
      </w:r>
      <w:r>
        <w:rPr>
          <w:rFonts w:eastAsia="Calibri" w:cs="Times New Roman"/>
          <w:sz w:val="20"/>
        </w:rPr>
        <w:t>,</w:t>
      </w:r>
      <w:r w:rsidR="00911379">
        <w:rPr>
          <w:rFonts w:eastAsia="Calibri" w:cs="Times New Roman"/>
          <w:sz w:val="20"/>
        </w:rPr>
        <w:t xml:space="preserve"> April 2025</w:t>
      </w:r>
      <w:r>
        <w:rPr>
          <w:rFonts w:eastAsia="Calibri" w:cs="Times New Roman"/>
          <w:sz w:val="20"/>
        </w:rPr>
        <w:br/>
      </w:r>
      <w:hyperlink r:id="rId38" w:history="1">
        <w:r w:rsidRPr="00894085">
          <w:rPr>
            <w:color w:val="0000FF"/>
            <w:sz w:val="20"/>
            <w:szCs w:val="20"/>
            <w:u w:val="single"/>
          </w:rPr>
          <w:t>https://ec.europa.eu/eurostat/databrowser/view/prc_hicp_aind/default/table?lang=de&amp;category=prc.prc_hicp</w:t>
        </w:r>
      </w:hyperlink>
    </w:p>
    <w:p w14:paraId="25886E07" w14:textId="72F2F092" w:rsidR="00CE5294" w:rsidRPr="00894085" w:rsidRDefault="00E62077" w:rsidP="00CE5294">
      <w:pPr>
        <w:spacing w:after="0" w:line="240" w:lineRule="auto"/>
        <w:rPr>
          <w:rFonts w:eastAsia="Calibri" w:cs="Times New Roman"/>
          <w:sz w:val="20"/>
          <w:lang w:val="fr-FR"/>
        </w:rPr>
      </w:pPr>
      <w:r>
        <w:rPr>
          <w:rFonts w:eastAsia="Calibri" w:cs="Times New Roman"/>
          <w:sz w:val="20"/>
          <w:lang w:val="fr-FR"/>
        </w:rPr>
        <w:t>E</w:t>
      </w:r>
      <w:r w:rsidR="00CE5294" w:rsidRPr="00894085">
        <w:rPr>
          <w:rFonts w:eastAsia="Calibri" w:cs="Times New Roman"/>
          <w:sz w:val="20"/>
          <w:lang w:val="fr-FR"/>
        </w:rPr>
        <w:t>urostat (2025</w:t>
      </w:r>
      <w:r w:rsidR="00894085">
        <w:rPr>
          <w:rFonts w:eastAsia="Calibri" w:cs="Times New Roman"/>
          <w:sz w:val="20"/>
          <w:lang w:val="fr-FR"/>
        </w:rPr>
        <w:t>c</w:t>
      </w:r>
      <w:r w:rsidR="00CE5294" w:rsidRPr="00894085">
        <w:rPr>
          <w:rFonts w:eastAsia="Calibri" w:cs="Times New Roman"/>
          <w:sz w:val="20"/>
          <w:lang w:val="fr-FR"/>
        </w:rPr>
        <w:t xml:space="preserve">), </w:t>
      </w:r>
      <w:r w:rsidRPr="00E62077">
        <w:rPr>
          <w:rFonts w:eastAsia="Calibri" w:cs="Times New Roman"/>
          <w:sz w:val="20"/>
          <w:lang w:val="fr-FR"/>
        </w:rPr>
        <w:t xml:space="preserve">EU labour </w:t>
      </w:r>
      <w:proofErr w:type="spellStart"/>
      <w:r w:rsidRPr="00E62077">
        <w:rPr>
          <w:rFonts w:eastAsia="Calibri" w:cs="Times New Roman"/>
          <w:sz w:val="20"/>
          <w:lang w:val="fr-FR"/>
        </w:rPr>
        <w:t>market</w:t>
      </w:r>
      <w:proofErr w:type="spellEnd"/>
      <w:r w:rsidRPr="00E62077">
        <w:rPr>
          <w:rFonts w:eastAsia="Calibri" w:cs="Times New Roman"/>
          <w:sz w:val="20"/>
          <w:lang w:val="fr-FR"/>
        </w:rPr>
        <w:t xml:space="preserve"> - </w:t>
      </w:r>
      <w:proofErr w:type="spellStart"/>
      <w:r w:rsidRPr="00E62077">
        <w:rPr>
          <w:rFonts w:eastAsia="Calibri" w:cs="Times New Roman"/>
          <w:sz w:val="20"/>
          <w:lang w:val="fr-FR"/>
        </w:rPr>
        <w:t>quarterly</w:t>
      </w:r>
      <w:proofErr w:type="spellEnd"/>
      <w:r w:rsidRPr="00E62077">
        <w:rPr>
          <w:rFonts w:eastAsia="Calibri" w:cs="Times New Roman"/>
          <w:sz w:val="20"/>
          <w:lang w:val="fr-FR"/>
        </w:rPr>
        <w:t xml:space="preserve"> </w:t>
      </w:r>
      <w:proofErr w:type="spellStart"/>
      <w:r w:rsidRPr="00E62077">
        <w:rPr>
          <w:rFonts w:eastAsia="Calibri" w:cs="Times New Roman"/>
          <w:sz w:val="20"/>
          <w:lang w:val="fr-FR"/>
        </w:rPr>
        <w:t>statistics</w:t>
      </w:r>
      <w:proofErr w:type="spellEnd"/>
      <w:r>
        <w:rPr>
          <w:rFonts w:eastAsia="Calibri" w:cs="Times New Roman"/>
          <w:sz w:val="20"/>
          <w:lang w:val="fr-FR"/>
        </w:rPr>
        <w:t>, März 2025</w:t>
      </w:r>
    </w:p>
    <w:p w14:paraId="7DF1BFC2" w14:textId="77777777" w:rsidR="00CE5294" w:rsidRPr="00954CB1" w:rsidRDefault="00CE5294" w:rsidP="00EF0F30">
      <w:pPr>
        <w:spacing w:line="240" w:lineRule="auto"/>
        <w:rPr>
          <w:rFonts w:eastAsia="Calibri" w:cs="Times New Roman"/>
          <w:color w:val="0000FF"/>
          <w:sz w:val="20"/>
          <w:u w:val="single"/>
          <w:lang w:val="fr-FR"/>
        </w:rPr>
      </w:pPr>
      <w:hyperlink r:id="rId39" w:history="1">
        <w:r w:rsidRPr="00954CB1">
          <w:rPr>
            <w:rFonts w:eastAsia="Calibri" w:cs="Times New Roman"/>
            <w:color w:val="0000FF"/>
            <w:sz w:val="20"/>
            <w:u w:val="single"/>
            <w:lang w:val="fr-FR"/>
          </w:rPr>
          <w:t>https://ec.europa.eu/eurostat/statistics-explained/index.php?title=EU_labour_market_-_quarterly_statistics</w:t>
        </w:r>
      </w:hyperlink>
    </w:p>
    <w:p w14:paraId="3E565EAD" w14:textId="76BE5382" w:rsidR="00CE5294" w:rsidRDefault="00EF0F30" w:rsidP="00CE5294">
      <w:pPr>
        <w:spacing w:after="0" w:line="240" w:lineRule="auto"/>
        <w:rPr>
          <w:rFonts w:eastAsia="Calibri" w:cs="Times New Roman"/>
          <w:sz w:val="20"/>
        </w:rPr>
      </w:pPr>
      <w:r w:rsidRPr="00EF0F30">
        <w:rPr>
          <w:rFonts w:eastAsia="Calibri" w:cs="Times New Roman"/>
          <w:sz w:val="20"/>
        </w:rPr>
        <w:t>Handelsblatt (2025): Die Angst vor der Weltrezession, April 2025</w:t>
      </w:r>
    </w:p>
    <w:p w14:paraId="53AC2872" w14:textId="06DF6342" w:rsidR="00EF0F30" w:rsidRPr="00954CB1" w:rsidRDefault="00EF0F30" w:rsidP="00EF0F30">
      <w:pPr>
        <w:spacing w:line="240" w:lineRule="auto"/>
        <w:rPr>
          <w:rFonts w:eastAsia="Calibri" w:cs="Times New Roman"/>
          <w:color w:val="0000FF"/>
          <w:sz w:val="20"/>
          <w:szCs w:val="20"/>
          <w:u w:val="single"/>
        </w:rPr>
      </w:pPr>
      <w:hyperlink r:id="rId40" w:history="1">
        <w:r w:rsidRPr="00EF0F30">
          <w:rPr>
            <w:color w:val="0000FF"/>
            <w:sz w:val="20"/>
            <w:szCs w:val="20"/>
            <w:u w:val="single"/>
          </w:rPr>
          <w:t>https://www.handelsblatt.com/politik/international/maerkte-die-angst-vor-der-weltrezession/100119086.html</w:t>
        </w:r>
      </w:hyperlink>
    </w:p>
    <w:p w14:paraId="36E91CEA" w14:textId="6324F01B" w:rsidR="004636CC" w:rsidRDefault="004636CC" w:rsidP="004636CC">
      <w:pPr>
        <w:spacing w:after="0" w:line="240" w:lineRule="auto"/>
        <w:rPr>
          <w:rFonts w:eastAsia="Calibri" w:cs="Times New Roman"/>
          <w:color w:val="0000FF"/>
          <w:sz w:val="20"/>
          <w:szCs w:val="20"/>
          <w:u w:val="single"/>
        </w:rPr>
      </w:pPr>
      <w:r w:rsidRPr="004636CC">
        <w:rPr>
          <w:rFonts w:eastAsia="Calibri" w:cs="Times New Roman"/>
          <w:sz w:val="20"/>
        </w:rPr>
        <w:t>IDW (2025): Omnibus-Vorschlag: EU-Parlament billigt „</w:t>
      </w:r>
      <w:proofErr w:type="spellStart"/>
      <w:r w:rsidRPr="004636CC">
        <w:rPr>
          <w:rFonts w:eastAsia="Calibri" w:cs="Times New Roman"/>
          <w:sz w:val="20"/>
        </w:rPr>
        <w:t>Stop</w:t>
      </w:r>
      <w:proofErr w:type="spellEnd"/>
      <w:r w:rsidRPr="004636CC">
        <w:rPr>
          <w:rFonts w:eastAsia="Calibri" w:cs="Times New Roman"/>
          <w:sz w:val="20"/>
        </w:rPr>
        <w:t>-</w:t>
      </w:r>
      <w:proofErr w:type="spellStart"/>
      <w:r w:rsidRPr="004636CC">
        <w:rPr>
          <w:rFonts w:eastAsia="Calibri" w:cs="Times New Roman"/>
          <w:sz w:val="20"/>
        </w:rPr>
        <w:t>the</w:t>
      </w:r>
      <w:proofErr w:type="spellEnd"/>
      <w:r w:rsidRPr="004636CC">
        <w:rPr>
          <w:rFonts w:eastAsia="Calibri" w:cs="Times New Roman"/>
          <w:sz w:val="20"/>
        </w:rPr>
        <w:t>-Clock“-Vorschlag, April 2024</w:t>
      </w:r>
    </w:p>
    <w:p w14:paraId="1F71933D" w14:textId="67DCB76F" w:rsidR="004636CC" w:rsidRPr="004636CC" w:rsidRDefault="004636CC" w:rsidP="00EF0F30">
      <w:pPr>
        <w:spacing w:line="240" w:lineRule="auto"/>
        <w:rPr>
          <w:rFonts w:eastAsia="Calibri" w:cs="Times New Roman"/>
          <w:color w:val="0000FF"/>
          <w:sz w:val="20"/>
          <w:szCs w:val="20"/>
          <w:u w:val="single"/>
        </w:rPr>
      </w:pPr>
      <w:r w:rsidRPr="004636CC">
        <w:rPr>
          <w:rFonts w:eastAsia="Calibri" w:cs="Times New Roman"/>
          <w:color w:val="0000FF"/>
          <w:sz w:val="20"/>
          <w:szCs w:val="20"/>
          <w:u w:val="single"/>
        </w:rPr>
        <w:t>https://www.idw.de/idw/idw-aktuell/omnibus-vorschlag-eu-parlament-billigt-stop-the-clock-vorschlag.html</w:t>
      </w:r>
    </w:p>
    <w:p w14:paraId="127AED97" w14:textId="77777777" w:rsidR="00CE5294" w:rsidRPr="00CE5294" w:rsidRDefault="00CE5294" w:rsidP="00CE5294">
      <w:pPr>
        <w:spacing w:after="160" w:line="240" w:lineRule="auto"/>
        <w:rPr>
          <w:rFonts w:eastAsia="Calibri" w:cs="Times New Roman"/>
          <w:sz w:val="20"/>
        </w:rPr>
      </w:pPr>
      <w:r w:rsidRPr="00CE5294">
        <w:rPr>
          <w:rFonts w:eastAsia="Calibri" w:cs="Times New Roman"/>
          <w:sz w:val="20"/>
        </w:rPr>
        <w:t>ifo Institut (2024), ifo Konjunkturumfrage in Deutschland gesamt, Oktober 2024</w:t>
      </w:r>
    </w:p>
    <w:p w14:paraId="10F96C10" w14:textId="77777777" w:rsidR="00CE5294" w:rsidRPr="00CE5294" w:rsidRDefault="00CE5294" w:rsidP="00CE5294">
      <w:pPr>
        <w:spacing w:after="160" w:line="240" w:lineRule="auto"/>
        <w:rPr>
          <w:rFonts w:eastAsia="Calibri" w:cs="Times New Roman"/>
          <w:sz w:val="20"/>
        </w:rPr>
      </w:pPr>
      <w:r w:rsidRPr="00CE5294">
        <w:rPr>
          <w:rFonts w:eastAsia="Calibri" w:cs="Times New Roman"/>
          <w:sz w:val="20"/>
        </w:rPr>
        <w:t>ifo Institut (2025), ifo Konjunkturperspektiven 1 2025, Januar 2025</w:t>
      </w:r>
    </w:p>
    <w:p w14:paraId="4BB349C0" w14:textId="77777777" w:rsidR="00CE5294" w:rsidRPr="00CE5294" w:rsidRDefault="00CE5294" w:rsidP="00CE5294">
      <w:pPr>
        <w:spacing w:after="160" w:line="240" w:lineRule="auto"/>
        <w:rPr>
          <w:rFonts w:eastAsia="Calibri" w:cs="Times New Roman"/>
          <w:color w:val="0000FF"/>
          <w:sz w:val="20"/>
          <w:u w:val="single"/>
          <w:lang w:val="en-US"/>
        </w:rPr>
      </w:pPr>
      <w:r w:rsidRPr="00230A83">
        <w:rPr>
          <w:rFonts w:eastAsia="Calibri" w:cs="Times New Roman"/>
          <w:sz w:val="20"/>
          <w:lang w:val="en-US"/>
        </w:rPr>
        <w:t>ILO (2025),</w:t>
      </w:r>
      <w:r w:rsidRPr="00CE5294">
        <w:rPr>
          <w:rFonts w:eastAsia="Calibri" w:cs="Times New Roman"/>
          <w:sz w:val="20"/>
          <w:lang w:val="en-US"/>
        </w:rPr>
        <w:t xml:space="preserve"> World Employment and Social Outlook Trends 2025, </w:t>
      </w:r>
      <w:proofErr w:type="spellStart"/>
      <w:r w:rsidRPr="00CE5294">
        <w:rPr>
          <w:rFonts w:eastAsia="Calibri" w:cs="Times New Roman"/>
          <w:sz w:val="20"/>
          <w:lang w:val="en-US"/>
        </w:rPr>
        <w:t>Januar</w:t>
      </w:r>
      <w:proofErr w:type="spellEnd"/>
      <w:r w:rsidRPr="00CE5294">
        <w:rPr>
          <w:rFonts w:eastAsia="Calibri" w:cs="Times New Roman"/>
          <w:sz w:val="20"/>
          <w:lang w:val="en-US"/>
        </w:rPr>
        <w:t xml:space="preserve"> 2025 </w:t>
      </w:r>
      <w:hyperlink r:id="rId41" w:history="1">
        <w:r w:rsidRPr="00CE5294">
          <w:rPr>
            <w:rFonts w:eastAsia="Calibri" w:cs="Times New Roman"/>
            <w:color w:val="0000FF"/>
            <w:sz w:val="20"/>
            <w:u w:val="single"/>
            <w:lang w:val="en-US"/>
          </w:rPr>
          <w:t>https://www.ilo.org/sites/default/files/2025-01/WESO25_Trends_EN_WEB5.pdf</w:t>
        </w:r>
      </w:hyperlink>
    </w:p>
    <w:p w14:paraId="38211D79" w14:textId="603B4874" w:rsidR="00CE5294" w:rsidRPr="00230A83" w:rsidRDefault="00CE5294" w:rsidP="00CE5294">
      <w:pPr>
        <w:spacing w:after="0" w:line="240" w:lineRule="auto"/>
        <w:rPr>
          <w:rFonts w:eastAsia="Calibri" w:cs="Times New Roman"/>
          <w:sz w:val="20"/>
          <w:lang w:val="en-US"/>
        </w:rPr>
      </w:pPr>
      <w:r w:rsidRPr="00230A83">
        <w:rPr>
          <w:rFonts w:eastAsia="Calibri" w:cs="Times New Roman"/>
          <w:sz w:val="20"/>
          <w:lang w:val="en-US"/>
        </w:rPr>
        <w:t>IMF (2025</w:t>
      </w:r>
      <w:r w:rsidR="007A27A6">
        <w:rPr>
          <w:rFonts w:eastAsia="Calibri" w:cs="Times New Roman"/>
          <w:sz w:val="20"/>
          <w:lang w:val="en-US"/>
        </w:rPr>
        <w:t>a</w:t>
      </w:r>
      <w:r w:rsidRPr="00230A83">
        <w:rPr>
          <w:rFonts w:eastAsia="Calibri" w:cs="Times New Roman"/>
          <w:sz w:val="20"/>
          <w:lang w:val="en-US"/>
        </w:rPr>
        <w:t xml:space="preserve">), Global Growth: Divergent and Uncertain, </w:t>
      </w:r>
      <w:proofErr w:type="spellStart"/>
      <w:r w:rsidRPr="00230A83">
        <w:rPr>
          <w:rFonts w:eastAsia="Calibri" w:cs="Times New Roman"/>
          <w:sz w:val="20"/>
          <w:lang w:val="en-US"/>
        </w:rPr>
        <w:t>Januar</w:t>
      </w:r>
      <w:proofErr w:type="spellEnd"/>
      <w:r w:rsidRPr="00230A83">
        <w:rPr>
          <w:rFonts w:eastAsia="Calibri" w:cs="Times New Roman"/>
          <w:sz w:val="20"/>
          <w:lang w:val="en-US"/>
        </w:rPr>
        <w:t xml:space="preserve"> 2025</w:t>
      </w:r>
    </w:p>
    <w:p w14:paraId="697472D0" w14:textId="77777777" w:rsidR="00CE5294" w:rsidRPr="00CE5294" w:rsidRDefault="00CE5294" w:rsidP="00CE5294">
      <w:pPr>
        <w:spacing w:after="160" w:line="240" w:lineRule="auto"/>
        <w:rPr>
          <w:rFonts w:eastAsia="Calibri" w:cs="Times New Roman"/>
          <w:sz w:val="20"/>
          <w:lang w:val="en-GB"/>
        </w:rPr>
      </w:pPr>
      <w:hyperlink r:id="rId42" w:history="1">
        <w:r w:rsidRPr="00CE5294">
          <w:rPr>
            <w:rFonts w:eastAsia="Calibri" w:cs="Times New Roman"/>
            <w:color w:val="0000FF"/>
            <w:sz w:val="20"/>
            <w:u w:val="single"/>
            <w:lang w:val="en-GB"/>
          </w:rPr>
          <w:t>https://www.imf.org/en/Publications/WEO/Issues/2025/01/17/world-economic-outlook-update-january-2025</w:t>
        </w:r>
      </w:hyperlink>
    </w:p>
    <w:p w14:paraId="336576D2" w14:textId="08B77776" w:rsidR="00CE5294" w:rsidRPr="00CE5294" w:rsidRDefault="007A27A6" w:rsidP="00CE5294">
      <w:pPr>
        <w:spacing w:after="0" w:line="240" w:lineRule="auto"/>
        <w:rPr>
          <w:rFonts w:eastAsia="Calibri" w:cs="Times New Roman"/>
          <w:sz w:val="20"/>
          <w:lang w:val="en-US"/>
        </w:rPr>
      </w:pPr>
      <w:r>
        <w:rPr>
          <w:rFonts w:eastAsia="Calibri" w:cs="Times New Roman"/>
          <w:sz w:val="20"/>
          <w:lang w:val="en-US"/>
        </w:rPr>
        <w:t>IMF (2025b)</w:t>
      </w:r>
      <w:r w:rsidR="00911379">
        <w:rPr>
          <w:rFonts w:eastAsia="Calibri" w:cs="Times New Roman"/>
          <w:sz w:val="20"/>
          <w:lang w:val="en-US"/>
        </w:rPr>
        <w:t xml:space="preserve">, </w:t>
      </w:r>
      <w:r w:rsidR="00911379" w:rsidRPr="00911379">
        <w:rPr>
          <w:rFonts w:eastAsia="Calibri" w:cs="Times New Roman"/>
          <w:sz w:val="20"/>
          <w:lang w:val="en-US"/>
        </w:rPr>
        <w:t>Inflation rate, average consumer prices</w:t>
      </w:r>
      <w:r w:rsidR="00911379">
        <w:rPr>
          <w:rFonts w:eastAsia="Calibri" w:cs="Times New Roman"/>
          <w:sz w:val="20"/>
          <w:lang w:val="en-US"/>
        </w:rPr>
        <w:t>, April 2025</w:t>
      </w:r>
    </w:p>
    <w:p w14:paraId="5ADBB517" w14:textId="61F0A466" w:rsidR="00911379" w:rsidRPr="00911379" w:rsidRDefault="00911379" w:rsidP="00911379">
      <w:pPr>
        <w:spacing w:after="160" w:line="240" w:lineRule="auto"/>
        <w:rPr>
          <w:lang w:val="en-US"/>
        </w:rPr>
      </w:pPr>
      <w:hyperlink r:id="rId43" w:history="1">
        <w:r w:rsidRPr="00911379">
          <w:rPr>
            <w:rFonts w:eastAsia="Calibri" w:cs="Times New Roman"/>
            <w:color w:val="0000FF"/>
            <w:sz w:val="20"/>
            <w:u w:val="single"/>
            <w:lang w:val="en-GB"/>
          </w:rPr>
          <w:t>https://www.imf.org/external/datamapper/PCPIPCH@WEO/OEMDC/WEOWORLD</w:t>
        </w:r>
      </w:hyperlink>
    </w:p>
    <w:p w14:paraId="0298E4B1" w14:textId="77777777" w:rsidR="00CE5294" w:rsidRPr="00CE5294" w:rsidRDefault="00CE5294" w:rsidP="00CE5294">
      <w:pPr>
        <w:spacing w:after="160" w:line="240" w:lineRule="auto"/>
        <w:rPr>
          <w:rFonts w:eastAsia="Calibri" w:cs="Times New Roman"/>
          <w:sz w:val="20"/>
        </w:rPr>
      </w:pPr>
      <w:r w:rsidRPr="00CE5294">
        <w:rPr>
          <w:rFonts w:eastAsia="Calibri" w:cs="Times New Roman"/>
          <w:sz w:val="20"/>
        </w:rPr>
        <w:t>IMU (2024), "Trendauswertung", IV. Quartal 2024, Oktober 2024</w:t>
      </w:r>
    </w:p>
    <w:p w14:paraId="3E89FC52" w14:textId="77777777" w:rsidR="00CE5294" w:rsidRPr="00CE5294" w:rsidRDefault="00CE5294" w:rsidP="00CE5294">
      <w:pPr>
        <w:spacing w:after="0" w:line="240" w:lineRule="auto"/>
        <w:rPr>
          <w:rFonts w:eastAsia="Calibri" w:cs="Times New Roman"/>
          <w:sz w:val="20"/>
          <w:lang w:val="en-US"/>
        </w:rPr>
      </w:pPr>
      <w:r w:rsidRPr="00CE5294">
        <w:rPr>
          <w:rFonts w:eastAsia="Calibri" w:cs="Times New Roman"/>
          <w:sz w:val="20"/>
          <w:lang w:val="en-US"/>
        </w:rPr>
        <w:t xml:space="preserve">International Automotive Task Force (IATF) (2024), The IATF has approved Stakeholder Communiqué SC-2024-006, IATF 16949 Revision 2 </w:t>
      </w:r>
    </w:p>
    <w:p w14:paraId="4EA19B19" w14:textId="77777777" w:rsidR="00CE5294" w:rsidRPr="00CE5294" w:rsidRDefault="00CE5294" w:rsidP="00CE5294">
      <w:pPr>
        <w:spacing w:after="0" w:line="240" w:lineRule="auto"/>
        <w:rPr>
          <w:rFonts w:eastAsia="Calibri" w:cs="Times New Roman"/>
          <w:sz w:val="20"/>
          <w:lang w:val="en-US"/>
        </w:rPr>
      </w:pPr>
      <w:hyperlink r:id="rId44" w:history="1">
        <w:r w:rsidRPr="00CE5294">
          <w:rPr>
            <w:rFonts w:eastAsia="Calibri" w:cs="Times New Roman"/>
            <w:color w:val="0000FF"/>
            <w:sz w:val="20"/>
            <w:u w:val="single"/>
            <w:lang w:val="en-US"/>
          </w:rPr>
          <w:t>https://www.iatfglobaloversight.org/news/24-october-2024-iatf-16949-revision-2/</w:t>
        </w:r>
      </w:hyperlink>
    </w:p>
    <w:p w14:paraId="28C7FF9A" w14:textId="77777777" w:rsidR="00CE5294" w:rsidRPr="00CE5294" w:rsidRDefault="00CE5294" w:rsidP="00CE5294">
      <w:pPr>
        <w:spacing w:after="0" w:line="240" w:lineRule="auto"/>
        <w:rPr>
          <w:rFonts w:eastAsia="Calibri" w:cs="Times New Roman"/>
          <w:sz w:val="20"/>
          <w:lang w:val="en-US"/>
        </w:rPr>
      </w:pPr>
    </w:p>
    <w:p w14:paraId="1BA5718B" w14:textId="77777777" w:rsidR="00CE5294" w:rsidRPr="00CE5294" w:rsidRDefault="00CE5294" w:rsidP="00CE5294">
      <w:pPr>
        <w:spacing w:after="160" w:line="240" w:lineRule="auto"/>
        <w:rPr>
          <w:rFonts w:eastAsia="Calibri" w:cs="Times New Roman"/>
          <w:sz w:val="20"/>
          <w:lang w:val="en-US"/>
        </w:rPr>
      </w:pPr>
      <w:r w:rsidRPr="00CE5294">
        <w:rPr>
          <w:rFonts w:eastAsia="Calibri" w:cs="Times New Roman"/>
          <w:sz w:val="20"/>
          <w:lang w:val="en-US"/>
        </w:rPr>
        <w:t xml:space="preserve">International Organization for Standardization (ISO) (2025), Update - ISO 9001 revision, </w:t>
      </w:r>
      <w:proofErr w:type="spellStart"/>
      <w:r w:rsidRPr="00CE5294">
        <w:rPr>
          <w:rFonts w:eastAsia="Calibri" w:cs="Times New Roman"/>
          <w:sz w:val="20"/>
          <w:lang w:val="en-US"/>
        </w:rPr>
        <w:t>Januar</w:t>
      </w:r>
      <w:proofErr w:type="spellEnd"/>
      <w:r w:rsidRPr="00CE5294">
        <w:rPr>
          <w:rFonts w:eastAsia="Calibri" w:cs="Times New Roman"/>
          <w:sz w:val="20"/>
          <w:lang w:val="en-US"/>
        </w:rPr>
        <w:t xml:space="preserve"> 2025 </w:t>
      </w:r>
      <w:hyperlink r:id="rId45" w:history="1">
        <w:r w:rsidRPr="00CE5294">
          <w:rPr>
            <w:rFonts w:eastAsia="Calibri" w:cs="Times New Roman"/>
            <w:color w:val="0000FF"/>
            <w:sz w:val="20"/>
            <w:u w:val="single"/>
            <w:lang w:val="en-US"/>
          </w:rPr>
          <w:t>https://committee.iso.org/sites/tc176sc2/home/news/content-left-area/news-and-updates/update-iso-9001-revision-1.html</w:t>
        </w:r>
      </w:hyperlink>
    </w:p>
    <w:p w14:paraId="3501969F" w14:textId="77777777" w:rsidR="00CE5294" w:rsidRDefault="00CE5294" w:rsidP="00CE5294">
      <w:pPr>
        <w:spacing w:after="160" w:line="240" w:lineRule="auto"/>
        <w:rPr>
          <w:rFonts w:eastAsia="Calibri" w:cs="Times New Roman"/>
          <w:sz w:val="20"/>
        </w:rPr>
      </w:pPr>
      <w:r w:rsidRPr="00CE5294">
        <w:rPr>
          <w:rFonts w:eastAsia="Calibri" w:cs="Times New Roman"/>
          <w:sz w:val="20"/>
        </w:rPr>
        <w:t>IW Köln (2024), IW-Konjunkturprognose Winter 2024: es reicht nicht, Dezember 2024</w:t>
      </w:r>
    </w:p>
    <w:p w14:paraId="57FCA97D" w14:textId="605B1317" w:rsidR="008C7230" w:rsidRDefault="008C7230" w:rsidP="008C7230">
      <w:pPr>
        <w:spacing w:after="0" w:line="240" w:lineRule="auto"/>
        <w:rPr>
          <w:rFonts w:eastAsia="Calibri" w:cs="Times New Roman"/>
          <w:sz w:val="20"/>
        </w:rPr>
      </w:pPr>
      <w:r w:rsidRPr="008C7230">
        <w:rPr>
          <w:rFonts w:eastAsia="Calibri" w:cs="Times New Roman"/>
          <w:sz w:val="20"/>
        </w:rPr>
        <w:t>IW Köln (2025a), Makroökonomische Aus</w:t>
      </w:r>
      <w:r>
        <w:rPr>
          <w:rFonts w:eastAsia="Calibri" w:cs="Times New Roman"/>
          <w:sz w:val="20"/>
        </w:rPr>
        <w:t>wirkungen der Zeitenwende 2.0, März 2025</w:t>
      </w:r>
    </w:p>
    <w:p w14:paraId="6D9CEDA7" w14:textId="512BD6D8" w:rsidR="008C7230" w:rsidRPr="008C7230" w:rsidRDefault="008C7230" w:rsidP="008C7230">
      <w:pPr>
        <w:spacing w:line="240" w:lineRule="auto"/>
        <w:rPr>
          <w:rFonts w:eastAsia="Calibri" w:cs="Arial"/>
          <w:color w:val="0000FF"/>
          <w:sz w:val="20"/>
          <w:szCs w:val="20"/>
          <w:u w:val="single"/>
        </w:rPr>
      </w:pPr>
      <w:hyperlink r:id="rId46" w:history="1">
        <w:r w:rsidRPr="008C7230">
          <w:rPr>
            <w:rFonts w:cs="Arial"/>
            <w:color w:val="0000FF"/>
            <w:sz w:val="20"/>
            <w:szCs w:val="20"/>
            <w:u w:val="single"/>
          </w:rPr>
          <w:t>https://www.iwkoeln.de/fileadmin/user_upload/Studien/Kurzberichte/PDF/2025/IW-Kurzbericht_2025-Sonderverm%C3%B6gen.pdf</w:t>
        </w:r>
      </w:hyperlink>
    </w:p>
    <w:p w14:paraId="18FC2349" w14:textId="7DC62A87" w:rsidR="00CE5294" w:rsidRPr="00CE5294" w:rsidRDefault="00CE5294" w:rsidP="00CE5294">
      <w:pPr>
        <w:spacing w:after="0" w:line="240" w:lineRule="auto"/>
        <w:rPr>
          <w:rFonts w:eastAsia="Calibri" w:cs="Arial"/>
          <w:sz w:val="20"/>
        </w:rPr>
      </w:pPr>
      <w:r w:rsidRPr="00CE5294">
        <w:rPr>
          <w:rFonts w:eastAsia="Calibri" w:cs="Arial"/>
          <w:sz w:val="20"/>
        </w:rPr>
        <w:t>IW Köln (2025</w:t>
      </w:r>
      <w:r w:rsidR="008C7230">
        <w:rPr>
          <w:rFonts w:eastAsia="Calibri" w:cs="Arial"/>
          <w:sz w:val="20"/>
        </w:rPr>
        <w:t>b</w:t>
      </w:r>
      <w:r w:rsidRPr="00CE5294">
        <w:rPr>
          <w:rFonts w:eastAsia="Calibri" w:cs="Arial"/>
          <w:sz w:val="20"/>
        </w:rPr>
        <w:t>), IW-Kurzbericht Nr. 11/2025 – Trump macht ernst: Erste Runde im Zollkonflikt, Februar 2025</w:t>
      </w:r>
    </w:p>
    <w:p w14:paraId="1BE272FA" w14:textId="77777777" w:rsidR="00CE5294" w:rsidRPr="00CE5294" w:rsidRDefault="00CE5294" w:rsidP="00CE5294">
      <w:pPr>
        <w:spacing w:line="240" w:lineRule="auto"/>
        <w:rPr>
          <w:rFonts w:eastAsia="Calibri" w:cs="Arial"/>
          <w:color w:val="0000FF"/>
          <w:sz w:val="20"/>
          <w:u w:val="single"/>
        </w:rPr>
      </w:pPr>
      <w:hyperlink r:id="rId47" w:history="1">
        <w:r w:rsidRPr="00CE5294">
          <w:rPr>
            <w:rFonts w:eastAsia="Calibri" w:cs="Arial"/>
            <w:color w:val="0000FF"/>
            <w:sz w:val="20"/>
            <w:u w:val="single"/>
          </w:rPr>
          <w:t>https://www.iwkoeln.de/fileadmin/user_upload/Studien/Kurzberichte/PDF/2025/IW-Kurzbericht_2025-Z%C3%B6lle-ME-CA-CN.pdf</w:t>
        </w:r>
      </w:hyperlink>
    </w:p>
    <w:p w14:paraId="596190EC" w14:textId="77777777" w:rsidR="00CE5294" w:rsidRDefault="00CE5294" w:rsidP="00CE5294">
      <w:pPr>
        <w:spacing w:after="160" w:line="240" w:lineRule="auto"/>
        <w:rPr>
          <w:rFonts w:eastAsia="Calibri" w:cs="Times New Roman"/>
          <w:sz w:val="20"/>
        </w:rPr>
      </w:pPr>
      <w:r w:rsidRPr="00CE5294">
        <w:rPr>
          <w:rFonts w:eastAsia="Calibri" w:cs="Times New Roman"/>
          <w:sz w:val="20"/>
        </w:rPr>
        <w:t>Kraftfahrt-Bundesamt (2025), Fahrzeugzulassungen (FZ) – Neuzulassungen von Kraftfahrzeugen und Kraftfahrzeuganhängern, Monatsergebnisse Dezember 2024, Januar 2025</w:t>
      </w:r>
    </w:p>
    <w:p w14:paraId="136A3CCB" w14:textId="5F7F0DA9" w:rsidR="00D307CB" w:rsidRDefault="00D307CB" w:rsidP="00D307CB">
      <w:pPr>
        <w:spacing w:after="0" w:line="240" w:lineRule="auto"/>
        <w:rPr>
          <w:rFonts w:eastAsia="Calibri" w:cs="Times New Roman"/>
          <w:sz w:val="20"/>
        </w:rPr>
      </w:pPr>
      <w:r>
        <w:rPr>
          <w:rFonts w:eastAsia="Calibri" w:cs="Times New Roman"/>
          <w:sz w:val="20"/>
        </w:rPr>
        <w:t xml:space="preserve">Neue Züricher Zeitung (2025), </w:t>
      </w:r>
      <w:r w:rsidRPr="00D307CB">
        <w:rPr>
          <w:rFonts w:eastAsia="Calibri" w:cs="Times New Roman"/>
          <w:sz w:val="20"/>
        </w:rPr>
        <w:t>Regierungsbildung in Deutschland: Union und SPD wollen nächste Woche «langsam in eine Schlusskurve» biegen</w:t>
      </w:r>
      <w:r>
        <w:rPr>
          <w:rFonts w:eastAsia="Calibri" w:cs="Times New Roman"/>
          <w:sz w:val="20"/>
        </w:rPr>
        <w:t>, April 2024</w:t>
      </w:r>
    </w:p>
    <w:p w14:paraId="1CBD2051" w14:textId="0683510C" w:rsidR="00D307CB" w:rsidRPr="00D307CB" w:rsidRDefault="00D307CB" w:rsidP="00D307CB">
      <w:pPr>
        <w:spacing w:line="240" w:lineRule="auto"/>
        <w:rPr>
          <w:rFonts w:eastAsia="Calibri" w:cs="Arial"/>
          <w:color w:val="0000FF"/>
          <w:sz w:val="20"/>
          <w:u w:val="single"/>
        </w:rPr>
      </w:pPr>
      <w:r w:rsidRPr="00D307CB">
        <w:rPr>
          <w:rFonts w:eastAsia="Calibri" w:cs="Arial"/>
          <w:color w:val="0000FF"/>
          <w:sz w:val="20"/>
          <w:u w:val="single"/>
        </w:rPr>
        <w:t>https://www.nzz.ch/international/koalitionsverhandlungen-der-arbeitsgruppen-streit-bei-migration-und-wirtschaft-ld.1876765</w:t>
      </w:r>
    </w:p>
    <w:p w14:paraId="0F019F1B" w14:textId="77777777" w:rsidR="00CE5294" w:rsidRPr="00CE5294" w:rsidRDefault="00CE5294" w:rsidP="00CE5294">
      <w:pPr>
        <w:spacing w:after="0" w:line="240" w:lineRule="auto"/>
        <w:rPr>
          <w:rFonts w:eastAsia="Calibri" w:cs="Times New Roman"/>
          <w:sz w:val="20"/>
        </w:rPr>
      </w:pPr>
      <w:r w:rsidRPr="00CE5294">
        <w:rPr>
          <w:rFonts w:eastAsia="Calibri" w:cs="Times New Roman"/>
          <w:sz w:val="20"/>
        </w:rPr>
        <w:t>PWC (2024a), Maschinenbau-Barometer, Oktober 2024</w:t>
      </w:r>
    </w:p>
    <w:p w14:paraId="4C417B77" w14:textId="77777777" w:rsidR="00CE5294" w:rsidRPr="00CE5294" w:rsidRDefault="00CE5294" w:rsidP="00CE5294">
      <w:pPr>
        <w:spacing w:after="160" w:line="240" w:lineRule="auto"/>
        <w:rPr>
          <w:rFonts w:eastAsia="Calibri" w:cs="Times New Roman"/>
          <w:sz w:val="20"/>
        </w:rPr>
      </w:pPr>
      <w:hyperlink r:id="rId48" w:history="1">
        <w:r w:rsidRPr="00CE5294">
          <w:rPr>
            <w:rFonts w:eastAsia="Calibri" w:cs="Times New Roman"/>
            <w:color w:val="0000FF"/>
            <w:sz w:val="20"/>
            <w:u w:val="single"/>
          </w:rPr>
          <w:t>https://www.pwc.de/de/industrielle-produktion/pwc-maschinenbau-barometer-q3-2024.pdf</w:t>
        </w:r>
      </w:hyperlink>
    </w:p>
    <w:p w14:paraId="072A67F7" w14:textId="77777777" w:rsidR="00CE5294" w:rsidRPr="00CE5294" w:rsidRDefault="00CE5294" w:rsidP="00CE5294">
      <w:pPr>
        <w:spacing w:after="0" w:line="240" w:lineRule="auto"/>
        <w:rPr>
          <w:rFonts w:eastAsia="Calibri" w:cs="Times New Roman"/>
          <w:sz w:val="20"/>
        </w:rPr>
      </w:pPr>
      <w:r w:rsidRPr="00CE5294">
        <w:rPr>
          <w:rFonts w:eastAsia="Calibri" w:cs="Times New Roman"/>
          <w:sz w:val="20"/>
        </w:rPr>
        <w:t>PWC (2024b), Maschinenbau-Barometer Ausblick 2025, Dezember 2024</w:t>
      </w:r>
    </w:p>
    <w:p w14:paraId="00E31925" w14:textId="77777777" w:rsidR="00CE5294" w:rsidRPr="00CE5294" w:rsidRDefault="00CE5294" w:rsidP="00CE5294">
      <w:pPr>
        <w:spacing w:after="160" w:line="240" w:lineRule="auto"/>
        <w:rPr>
          <w:rFonts w:eastAsia="Calibri" w:cs="Times New Roman"/>
          <w:sz w:val="20"/>
        </w:rPr>
      </w:pPr>
      <w:hyperlink r:id="rId49" w:history="1">
        <w:r w:rsidRPr="00CE5294">
          <w:rPr>
            <w:rFonts w:eastAsia="Calibri" w:cs="Times New Roman"/>
            <w:color w:val="0000FF"/>
            <w:sz w:val="20"/>
            <w:u w:val="single"/>
          </w:rPr>
          <w:t>https://www.pwc.de/de/industrielle-produktion/pwc-maschinenbau-barometer-q4-2024.pdf</w:t>
        </w:r>
      </w:hyperlink>
    </w:p>
    <w:p w14:paraId="23484C94" w14:textId="77777777" w:rsidR="00CE5294" w:rsidRPr="00CE5294" w:rsidRDefault="00CE5294" w:rsidP="00CE5294">
      <w:pPr>
        <w:spacing w:after="0" w:line="240" w:lineRule="auto"/>
        <w:rPr>
          <w:rFonts w:eastAsia="Calibri" w:cs="Times New Roman"/>
          <w:sz w:val="20"/>
        </w:rPr>
      </w:pPr>
      <w:r w:rsidRPr="00CE5294">
        <w:rPr>
          <w:rFonts w:eastAsia="Calibri" w:cs="Times New Roman"/>
          <w:sz w:val="20"/>
        </w:rPr>
        <w:lastRenderedPageBreak/>
        <w:t>Statista (2025), ZEW-Index zur Konjunkturerwartung in Deutschland, Januar 2025</w:t>
      </w:r>
    </w:p>
    <w:p w14:paraId="27AE7CB8" w14:textId="77777777" w:rsidR="00CE5294" w:rsidRPr="00CE5294" w:rsidRDefault="00CE5294" w:rsidP="00CE5294">
      <w:pPr>
        <w:spacing w:after="160" w:line="240" w:lineRule="auto"/>
        <w:rPr>
          <w:rFonts w:eastAsia="Calibri" w:cs="Times New Roman"/>
          <w:sz w:val="20"/>
        </w:rPr>
      </w:pPr>
      <w:hyperlink r:id="rId50" w:history="1">
        <w:r w:rsidRPr="00CE5294">
          <w:rPr>
            <w:rFonts w:eastAsia="Calibri" w:cs="Times New Roman"/>
            <w:color w:val="0000FF"/>
            <w:sz w:val="20"/>
            <w:u w:val="single"/>
          </w:rPr>
          <w:t>https://de.statista.com/statistik/daten/studie/38694/umfrage/zew-konjunkturerwartung-deutschland/</w:t>
        </w:r>
      </w:hyperlink>
    </w:p>
    <w:p w14:paraId="6BF3719A" w14:textId="77777777" w:rsidR="00CE5294" w:rsidRPr="00CE5294" w:rsidRDefault="00CE5294" w:rsidP="00CE5294">
      <w:pPr>
        <w:spacing w:after="0" w:line="240" w:lineRule="auto"/>
        <w:rPr>
          <w:rFonts w:eastAsia="Calibri" w:cs="Times New Roman"/>
          <w:sz w:val="20"/>
        </w:rPr>
      </w:pPr>
      <w:r w:rsidRPr="00CE5294">
        <w:rPr>
          <w:rFonts w:eastAsia="Calibri" w:cs="Times New Roman"/>
          <w:sz w:val="20"/>
        </w:rPr>
        <w:t xml:space="preserve">VCI (2025), BUNDESTAGSWAHL 2025 VCI-Positionen, Januar 2025 </w:t>
      </w:r>
    </w:p>
    <w:p w14:paraId="7559FF77" w14:textId="77777777" w:rsidR="00CE5294" w:rsidRPr="00CE5294" w:rsidRDefault="00CE5294" w:rsidP="00CE5294">
      <w:pPr>
        <w:spacing w:after="0" w:line="240" w:lineRule="auto"/>
        <w:rPr>
          <w:rFonts w:eastAsia="Calibri" w:cs="Times New Roman"/>
          <w:sz w:val="20"/>
        </w:rPr>
      </w:pPr>
      <w:hyperlink r:id="rId51" w:history="1">
        <w:r w:rsidRPr="00CE5294">
          <w:rPr>
            <w:rFonts w:eastAsia="Calibri" w:cs="Times New Roman"/>
            <w:color w:val="0000FF"/>
            <w:sz w:val="20"/>
            <w:u w:val="single"/>
          </w:rPr>
          <w:t>https://www.vci.de/vci/downloads-vci/publikation/vci-positionen-bundestagswahl-2025.pdf</w:t>
        </w:r>
      </w:hyperlink>
    </w:p>
    <w:p w14:paraId="18AA6AA6" w14:textId="77777777" w:rsidR="00CE5294" w:rsidRPr="00CE5294" w:rsidRDefault="00CE5294" w:rsidP="00CE5294">
      <w:pPr>
        <w:spacing w:after="0" w:line="240" w:lineRule="auto"/>
        <w:rPr>
          <w:rFonts w:eastAsia="Calibri" w:cs="Times New Roman"/>
          <w:sz w:val="20"/>
        </w:rPr>
      </w:pPr>
    </w:p>
    <w:p w14:paraId="5CCA23DE" w14:textId="77777777" w:rsidR="00CE5294" w:rsidRPr="00CE5294" w:rsidRDefault="00CE5294" w:rsidP="00CE5294">
      <w:pPr>
        <w:spacing w:after="160" w:line="240" w:lineRule="auto"/>
        <w:rPr>
          <w:rFonts w:eastAsia="Calibri" w:cs="Times New Roman"/>
          <w:color w:val="0000FF"/>
          <w:sz w:val="20"/>
          <w:u w:val="single"/>
        </w:rPr>
      </w:pPr>
      <w:r w:rsidRPr="00CE5294">
        <w:rPr>
          <w:rFonts w:eastAsia="Calibri" w:cs="Times New Roman"/>
          <w:sz w:val="20"/>
        </w:rPr>
        <w:t>VDA (2025a), VDA-Lagebericht – Entwicklung der internationalen Automobilmärkte, Januar 2025</w:t>
      </w:r>
    </w:p>
    <w:p w14:paraId="551F17A6" w14:textId="2ACEF3B2" w:rsidR="00230A83" w:rsidRDefault="00CE5294" w:rsidP="00CE5294">
      <w:pPr>
        <w:spacing w:after="0" w:line="240" w:lineRule="auto"/>
      </w:pPr>
      <w:r w:rsidRPr="00230A83">
        <w:rPr>
          <w:rFonts w:eastAsia="Calibri" w:cs="Times New Roman"/>
          <w:sz w:val="20"/>
        </w:rPr>
        <w:t xml:space="preserve">VDA (2025b), </w:t>
      </w:r>
      <w:r w:rsidR="00230A83" w:rsidRPr="00230A83">
        <w:rPr>
          <w:rFonts w:eastAsia="Calibri" w:cs="Times New Roman"/>
          <w:sz w:val="20"/>
        </w:rPr>
        <w:t>Produktion und Markt im Dezember 2024</w:t>
      </w:r>
      <w:r w:rsidR="00230A83">
        <w:rPr>
          <w:rFonts w:eastAsia="Calibri" w:cs="Times New Roman"/>
          <w:sz w:val="20"/>
        </w:rPr>
        <w:t>, Januar 2025</w:t>
      </w:r>
    </w:p>
    <w:p w14:paraId="429C5D77" w14:textId="1A018F25" w:rsidR="00230A83" w:rsidRPr="00230A83" w:rsidRDefault="00230A83" w:rsidP="00230A83">
      <w:pPr>
        <w:spacing w:after="0" w:line="240" w:lineRule="auto"/>
        <w:rPr>
          <w:rFonts w:eastAsia="Calibri" w:cs="Times New Roman"/>
          <w:color w:val="0000FF"/>
          <w:sz w:val="20"/>
          <w:u w:val="single"/>
        </w:rPr>
      </w:pPr>
      <w:hyperlink r:id="rId52" w:history="1">
        <w:r w:rsidRPr="00230A83">
          <w:rPr>
            <w:rFonts w:eastAsia="Calibri" w:cs="Times New Roman"/>
            <w:color w:val="0000FF"/>
            <w:sz w:val="20"/>
            <w:u w:val="single"/>
          </w:rPr>
          <w:t>https://www.vda.de/de/presse/Pressemeldungen/2025/250106_PM_Nationale_PM_Pkw-Produktion_in_Deutschland_im_Dezember_2024</w:t>
        </w:r>
      </w:hyperlink>
    </w:p>
    <w:p w14:paraId="78EE2C7D" w14:textId="77777777" w:rsidR="00230A83" w:rsidRDefault="00230A83" w:rsidP="00230A83">
      <w:pPr>
        <w:spacing w:after="0" w:line="240" w:lineRule="auto"/>
      </w:pPr>
    </w:p>
    <w:p w14:paraId="4706CEA0" w14:textId="16B283B1" w:rsidR="00CE5294" w:rsidRPr="00230A83" w:rsidRDefault="00CE5294" w:rsidP="00CE5294">
      <w:pPr>
        <w:spacing w:after="0" w:line="240" w:lineRule="auto"/>
        <w:rPr>
          <w:rFonts w:eastAsia="Calibri" w:cs="Times New Roman"/>
          <w:sz w:val="20"/>
        </w:rPr>
      </w:pPr>
      <w:r w:rsidRPr="00230A83">
        <w:rPr>
          <w:rFonts w:eastAsia="Calibri" w:cs="Times New Roman"/>
          <w:sz w:val="20"/>
        </w:rPr>
        <w:t>VDA (2025c), Monatszahlen, Januar 2025</w:t>
      </w:r>
    </w:p>
    <w:p w14:paraId="6B31B859" w14:textId="77777777" w:rsidR="00CE5294" w:rsidRPr="00CE5294" w:rsidRDefault="00CE5294" w:rsidP="00CE5294">
      <w:pPr>
        <w:spacing w:after="160" w:line="240" w:lineRule="auto"/>
        <w:rPr>
          <w:rFonts w:eastAsia="Calibri" w:cs="Times New Roman"/>
          <w:sz w:val="20"/>
        </w:rPr>
      </w:pPr>
      <w:hyperlink r:id="rId53" w:history="1">
        <w:r w:rsidRPr="00230A83">
          <w:rPr>
            <w:rFonts w:eastAsia="Calibri" w:cs="Times New Roman"/>
            <w:color w:val="0000FF"/>
            <w:sz w:val="20"/>
            <w:u w:val="single"/>
          </w:rPr>
          <w:t>https://www.vda.de/de/aktuelles/zahlen-und-daten/monatszahlen</w:t>
        </w:r>
      </w:hyperlink>
    </w:p>
    <w:p w14:paraId="6D7A2192" w14:textId="77777777" w:rsidR="00CE5294" w:rsidRPr="00CE5294" w:rsidRDefault="00CE5294" w:rsidP="00CE5294">
      <w:pPr>
        <w:spacing w:after="0" w:line="240" w:lineRule="auto"/>
        <w:rPr>
          <w:rFonts w:eastAsia="Calibri" w:cs="Times New Roman"/>
          <w:sz w:val="20"/>
        </w:rPr>
      </w:pPr>
      <w:r w:rsidRPr="00CE5294">
        <w:rPr>
          <w:rFonts w:eastAsia="Calibri" w:cs="Times New Roman"/>
          <w:sz w:val="20"/>
        </w:rPr>
        <w:t>VDA (2025d), Presse-Material zur VDA-jahres-PK 2025, Januar 2025</w:t>
      </w:r>
    </w:p>
    <w:p w14:paraId="0166C5F8" w14:textId="77777777" w:rsidR="00CE5294" w:rsidRPr="00CE5294" w:rsidRDefault="00CE5294" w:rsidP="00CE5294">
      <w:pPr>
        <w:spacing w:after="160" w:line="240" w:lineRule="auto"/>
        <w:rPr>
          <w:rFonts w:eastAsia="Calibri" w:cs="Times New Roman"/>
          <w:sz w:val="20"/>
        </w:rPr>
      </w:pPr>
      <w:hyperlink r:id="rId54" w:history="1">
        <w:r w:rsidRPr="00CE5294">
          <w:rPr>
            <w:rFonts w:eastAsia="Calibri" w:cs="Times New Roman"/>
            <w:color w:val="0000FF"/>
            <w:sz w:val="20"/>
            <w:u w:val="single"/>
          </w:rPr>
          <w:t>https://www.vda.de/dam/jcr:28187e83-049f-4fe3-8f2e-c5605ee293b9/Pressematerial_VDA-Jahres-Pressekonferenz_2025?mode=view</w:t>
        </w:r>
      </w:hyperlink>
    </w:p>
    <w:p w14:paraId="5EC56C2C" w14:textId="77777777" w:rsidR="00CE5294" w:rsidRPr="00CE5294" w:rsidRDefault="00CE5294" w:rsidP="00CE5294">
      <w:pPr>
        <w:spacing w:after="160" w:line="240" w:lineRule="auto"/>
        <w:rPr>
          <w:rFonts w:eastAsia="Calibri" w:cs="Times New Roman"/>
          <w:sz w:val="20"/>
        </w:rPr>
      </w:pPr>
      <w:r w:rsidRPr="00CE5294">
        <w:rPr>
          <w:rFonts w:eastAsia="Calibri" w:cs="Times New Roman"/>
          <w:sz w:val="20"/>
        </w:rPr>
        <w:t xml:space="preserve">VDA (2025e), Mentalitätswandel und wirtschaftspolitischer Politikwechsel notwendig, um Wachstum und Wohlstand zu erhalten und Klimaschutz zu erreichen, Januar 2025 </w:t>
      </w:r>
      <w:hyperlink r:id="rId55" w:history="1">
        <w:r w:rsidRPr="00CE5294">
          <w:rPr>
            <w:rFonts w:eastAsia="Calibri" w:cs="Times New Roman"/>
            <w:color w:val="0000FF"/>
            <w:sz w:val="20"/>
            <w:u w:val="single"/>
          </w:rPr>
          <w:t>https://www.vda.de/de/presse/Pressemeldungen/2025/250121_PM_Jahrespressekonferenz_2025_DE</w:t>
        </w:r>
      </w:hyperlink>
    </w:p>
    <w:p w14:paraId="56D3ACD9" w14:textId="40C80A5B" w:rsidR="00CE5294" w:rsidRPr="00CE5294" w:rsidRDefault="00CE5294" w:rsidP="00ED10D1">
      <w:pPr>
        <w:spacing w:after="0" w:line="240" w:lineRule="auto"/>
        <w:rPr>
          <w:rFonts w:eastAsia="Calibri" w:cs="Arial"/>
          <w:sz w:val="20"/>
        </w:rPr>
      </w:pPr>
      <w:r w:rsidRPr="00CE5294">
        <w:rPr>
          <w:rFonts w:eastAsia="Calibri" w:cs="Arial"/>
          <w:sz w:val="20"/>
        </w:rPr>
        <w:t xml:space="preserve">VDA (2025f), </w:t>
      </w:r>
      <w:r w:rsidR="00ED10D1" w:rsidRPr="00ED10D1">
        <w:rPr>
          <w:rFonts w:eastAsia="Calibri" w:cs="Arial"/>
          <w:sz w:val="20"/>
        </w:rPr>
        <w:t>VDA-Kommentierung zu US-Zollpaket</w:t>
      </w:r>
      <w:r w:rsidR="00ED10D1">
        <w:rPr>
          <w:rFonts w:eastAsia="Calibri" w:cs="Arial"/>
          <w:sz w:val="20"/>
        </w:rPr>
        <w:t xml:space="preserve">: </w:t>
      </w:r>
      <w:r w:rsidR="00ED10D1" w:rsidRPr="00ED10D1">
        <w:rPr>
          <w:rFonts w:eastAsia="Calibri" w:cs="Arial"/>
          <w:sz w:val="20"/>
        </w:rPr>
        <w:t>VDA-Präsidentin zum US-Zollpaket</w:t>
      </w:r>
      <w:r w:rsidR="00ED10D1">
        <w:rPr>
          <w:rFonts w:eastAsia="Calibri" w:cs="Arial"/>
          <w:sz w:val="20"/>
        </w:rPr>
        <w:t>, April 2024</w:t>
      </w:r>
    </w:p>
    <w:p w14:paraId="2985A4C7" w14:textId="5CC3AFEB" w:rsidR="00ED10D1" w:rsidRPr="00ED10D1" w:rsidRDefault="00ED10D1" w:rsidP="00ED10D1">
      <w:pPr>
        <w:spacing w:line="240" w:lineRule="auto"/>
        <w:rPr>
          <w:rFonts w:eastAsia="Calibri" w:cs="Times New Roman"/>
          <w:color w:val="0000FF"/>
          <w:sz w:val="20"/>
          <w:szCs w:val="20"/>
          <w:u w:val="single"/>
        </w:rPr>
      </w:pPr>
      <w:hyperlink r:id="rId56" w:history="1">
        <w:r w:rsidRPr="00ED10D1">
          <w:rPr>
            <w:rFonts w:eastAsia="Calibri" w:cs="Times New Roman"/>
            <w:color w:val="0000FF"/>
            <w:sz w:val="20"/>
            <w:szCs w:val="20"/>
            <w:u w:val="single"/>
          </w:rPr>
          <w:t>https://www.vda.de/de/presse/Pressemeldungen/2025/250403_Kommentierung_US-Zollpaket</w:t>
        </w:r>
      </w:hyperlink>
    </w:p>
    <w:p w14:paraId="4E3AAF5B" w14:textId="77777777" w:rsidR="00CE5294" w:rsidRPr="00CE5294" w:rsidRDefault="00CE5294" w:rsidP="00CE5294">
      <w:pPr>
        <w:spacing w:after="160" w:line="240" w:lineRule="auto"/>
        <w:rPr>
          <w:rFonts w:eastAsia="Calibri" w:cs="Times New Roman"/>
          <w:sz w:val="20"/>
        </w:rPr>
      </w:pPr>
      <w:r w:rsidRPr="00CE5294">
        <w:rPr>
          <w:rFonts w:eastAsia="Calibri" w:cs="Times New Roman"/>
          <w:sz w:val="20"/>
        </w:rPr>
        <w:t xml:space="preserve">VDA (2025g), VDA-Mittelstandstag 2024: KI und Standort im Fokus, Juni 2024, </w:t>
      </w:r>
      <w:hyperlink r:id="rId57" w:history="1">
        <w:r w:rsidRPr="00CE5294">
          <w:rPr>
            <w:rFonts w:eastAsia="Calibri" w:cs="Times New Roman"/>
            <w:color w:val="0000FF"/>
            <w:sz w:val="20"/>
            <w:u w:val="single"/>
          </w:rPr>
          <w:t>https://www.vda.de/de/aktuelles/artikel/2024/vda-mittelstandstag-2024</w:t>
        </w:r>
      </w:hyperlink>
    </w:p>
    <w:p w14:paraId="3C661C30" w14:textId="77777777" w:rsidR="00CE5294" w:rsidRPr="00CE5294" w:rsidRDefault="00CE5294" w:rsidP="00CE5294">
      <w:pPr>
        <w:spacing w:after="0" w:line="240" w:lineRule="auto"/>
        <w:rPr>
          <w:rFonts w:eastAsia="Calibri" w:cs="Times New Roman"/>
          <w:sz w:val="20"/>
        </w:rPr>
      </w:pPr>
      <w:r w:rsidRPr="00CE5294">
        <w:rPr>
          <w:rFonts w:eastAsia="Calibri" w:cs="Times New Roman"/>
          <w:sz w:val="20"/>
        </w:rPr>
        <w:t>VDMA (2024), Konjunktur Dezember 2024 - Lage und Ausblick im Maschinen- und Anlagenbau, Dezember 2024</w:t>
      </w:r>
    </w:p>
    <w:p w14:paraId="3454327B" w14:textId="77777777" w:rsidR="00CE5294" w:rsidRPr="00CE5294" w:rsidRDefault="00CE5294" w:rsidP="00CE5294">
      <w:pPr>
        <w:spacing w:after="160" w:line="240" w:lineRule="auto"/>
        <w:rPr>
          <w:rFonts w:eastAsia="Calibri" w:cs="Times New Roman"/>
          <w:color w:val="0000FF"/>
          <w:sz w:val="20"/>
          <w:u w:val="single"/>
        </w:rPr>
      </w:pPr>
      <w:hyperlink r:id="rId58" w:history="1">
        <w:r w:rsidRPr="00CE5294">
          <w:rPr>
            <w:rFonts w:eastAsia="Calibri" w:cs="Times New Roman"/>
            <w:color w:val="0000FF"/>
            <w:sz w:val="20"/>
            <w:u w:val="single"/>
          </w:rPr>
          <w:t>https://vdma.org/documents/34570/4802648/Charts_D_Jahres-PK+Konjunktur+2024-2025.pdf/529ec0ec-2ecb-1f12-125d-5a4c9830d9c6?t=1733818629385?filename=Charts_D_Jahres-PK+Konjunktur+2024-2025.pdf</w:t>
        </w:r>
      </w:hyperlink>
    </w:p>
    <w:p w14:paraId="1D2178BE" w14:textId="77777777" w:rsidR="00CE5294" w:rsidRPr="00CE5294" w:rsidRDefault="00CE5294" w:rsidP="00CE5294">
      <w:pPr>
        <w:spacing w:after="0" w:line="240" w:lineRule="auto"/>
        <w:rPr>
          <w:rFonts w:eastAsia="Calibri" w:cs="Times New Roman"/>
          <w:sz w:val="20"/>
        </w:rPr>
      </w:pPr>
      <w:r w:rsidRPr="00CE5294">
        <w:rPr>
          <w:rFonts w:eastAsia="Calibri" w:cs="Times New Roman"/>
          <w:sz w:val="20"/>
        </w:rPr>
        <w:t>VDMA (2025), VDMA-Konjunkturerhebung: Stimmung und Lage im Maschinen- und Anlagenbau bleiben angespannt, Januar 2025</w:t>
      </w:r>
    </w:p>
    <w:p w14:paraId="2821E59F" w14:textId="77777777" w:rsidR="00CE5294" w:rsidRPr="00CE5294" w:rsidRDefault="00CE5294" w:rsidP="00CE5294">
      <w:pPr>
        <w:spacing w:after="160" w:line="240" w:lineRule="auto"/>
        <w:rPr>
          <w:rFonts w:eastAsia="Calibri" w:cs="Times New Roman"/>
          <w:sz w:val="20"/>
        </w:rPr>
      </w:pPr>
      <w:hyperlink r:id="rId59" w:history="1">
        <w:r w:rsidRPr="00CE5294">
          <w:rPr>
            <w:rFonts w:eastAsia="Calibri" w:cs="Times New Roman"/>
            <w:color w:val="0000FF"/>
            <w:sz w:val="20"/>
            <w:u w:val="single"/>
          </w:rPr>
          <w:t>https://www.vdma.org/viewer/-/v2article/render/139786115</w:t>
        </w:r>
      </w:hyperlink>
    </w:p>
    <w:p w14:paraId="477D290C" w14:textId="77777777" w:rsidR="00CE5294" w:rsidRPr="00CE5294" w:rsidRDefault="00CE5294" w:rsidP="00CE5294">
      <w:pPr>
        <w:spacing w:after="160" w:line="240" w:lineRule="auto"/>
        <w:rPr>
          <w:rFonts w:eastAsia="Calibri" w:cs="Times New Roman"/>
          <w:sz w:val="20"/>
        </w:rPr>
      </w:pPr>
      <w:r w:rsidRPr="00CE5294">
        <w:rPr>
          <w:rFonts w:eastAsia="Calibri" w:cs="Times New Roman"/>
          <w:sz w:val="20"/>
        </w:rPr>
        <w:t>WSM (2025), Entwicklung des WSM-Geschäftsklimas, Januar 2025</w:t>
      </w:r>
    </w:p>
    <w:p w14:paraId="279C8BBA" w14:textId="77777777" w:rsidR="00CE5294" w:rsidRPr="00CE5294" w:rsidRDefault="00CE5294" w:rsidP="00CE5294">
      <w:pPr>
        <w:spacing w:after="0" w:line="240" w:lineRule="auto"/>
        <w:rPr>
          <w:rFonts w:eastAsia="Calibri" w:cs="Times New Roman"/>
          <w:sz w:val="20"/>
        </w:rPr>
      </w:pPr>
      <w:r w:rsidRPr="00CE5294">
        <w:rPr>
          <w:rFonts w:eastAsia="Calibri" w:cs="Times New Roman"/>
          <w:sz w:val="20"/>
        </w:rPr>
        <w:t xml:space="preserve">Tagesschau (2025a), Bundestagswahl 2025, Februar 2025 </w:t>
      </w:r>
    </w:p>
    <w:p w14:paraId="3BA9144B" w14:textId="77777777" w:rsidR="00CE5294" w:rsidRDefault="00CE5294" w:rsidP="00CE5294">
      <w:pPr>
        <w:spacing w:after="0" w:line="240" w:lineRule="auto"/>
        <w:rPr>
          <w:rFonts w:eastAsia="Calibri" w:cs="Times New Roman"/>
          <w:sz w:val="20"/>
        </w:rPr>
      </w:pPr>
      <w:hyperlink r:id="rId60" w:history="1">
        <w:r w:rsidRPr="00CE5294">
          <w:rPr>
            <w:rFonts w:eastAsia="Calibri" w:cs="Times New Roman"/>
            <w:color w:val="0000FF"/>
            <w:sz w:val="20"/>
            <w:u w:val="single"/>
          </w:rPr>
          <w:t>https://www.tagesschau.de/inland/bundestagswahl/programmvergleich</w:t>
        </w:r>
      </w:hyperlink>
    </w:p>
    <w:p w14:paraId="37967AEE" w14:textId="77777777" w:rsidR="00E77B25" w:rsidRPr="00CE5294" w:rsidRDefault="00E77B25" w:rsidP="00CE5294">
      <w:pPr>
        <w:spacing w:after="0" w:line="240" w:lineRule="auto"/>
        <w:rPr>
          <w:rFonts w:eastAsia="Calibri" w:cs="Times New Roman"/>
          <w:sz w:val="20"/>
        </w:rPr>
      </w:pPr>
    </w:p>
    <w:p w14:paraId="607C6426" w14:textId="77777777" w:rsidR="00CE5294" w:rsidRPr="00CE5294" w:rsidRDefault="00CE5294" w:rsidP="00CE5294">
      <w:pPr>
        <w:spacing w:after="0" w:line="240" w:lineRule="auto"/>
        <w:rPr>
          <w:rFonts w:eastAsia="Calibri" w:cs="Arial"/>
          <w:sz w:val="20"/>
        </w:rPr>
      </w:pPr>
      <w:r w:rsidRPr="00CE5294">
        <w:rPr>
          <w:rFonts w:eastAsia="Calibri" w:cs="Times New Roman"/>
          <w:sz w:val="20"/>
        </w:rPr>
        <w:t xml:space="preserve">Tagesschau (2025b), </w:t>
      </w:r>
      <w:r w:rsidRPr="00CE5294">
        <w:rPr>
          <w:rFonts w:eastAsia="Calibri" w:cs="Arial"/>
          <w:sz w:val="20"/>
        </w:rPr>
        <w:t>Trump verhängt Zölle auf Stahl und Aluminium, Februar 2025</w:t>
      </w:r>
    </w:p>
    <w:p w14:paraId="1F1AFD05" w14:textId="77777777" w:rsidR="00CE5294" w:rsidRDefault="00CE5294" w:rsidP="00CE5294">
      <w:pPr>
        <w:spacing w:after="160" w:line="240" w:lineRule="auto"/>
      </w:pPr>
      <w:hyperlink r:id="rId61" w:history="1">
        <w:r w:rsidRPr="00CE5294">
          <w:rPr>
            <w:rFonts w:eastAsia="Calibri" w:cs="Arial"/>
            <w:color w:val="0000FF"/>
            <w:sz w:val="20"/>
            <w:u w:val="single"/>
          </w:rPr>
          <w:t>https://www.tagesschau.de/wirtschaft/weltwirtschaft/usa-trump-zoelle-stahl-aluminium-100.html</w:t>
        </w:r>
      </w:hyperlink>
    </w:p>
    <w:p w14:paraId="58DAE041" w14:textId="4B5DA7B5" w:rsidR="008538FF" w:rsidRPr="008538FF" w:rsidRDefault="008538FF" w:rsidP="008538FF">
      <w:pPr>
        <w:spacing w:after="0" w:line="240" w:lineRule="auto"/>
        <w:rPr>
          <w:rFonts w:eastAsia="Calibri" w:cs="Arial"/>
          <w:sz w:val="20"/>
        </w:rPr>
      </w:pPr>
      <w:r w:rsidRPr="008538FF">
        <w:rPr>
          <w:rFonts w:eastAsia="Calibri" w:cs="Arial"/>
          <w:sz w:val="20"/>
        </w:rPr>
        <w:t>Tagesschau (2025c), Zölle von 20 Prozent für Importe aus der EU, April 2025</w:t>
      </w:r>
    </w:p>
    <w:p w14:paraId="50EDF2D7" w14:textId="77A7578F" w:rsidR="008538FF" w:rsidRPr="008538FF" w:rsidRDefault="008538FF" w:rsidP="00CE5294">
      <w:pPr>
        <w:spacing w:after="160" w:line="240" w:lineRule="auto"/>
        <w:rPr>
          <w:rFonts w:eastAsia="Calibri" w:cs="Arial"/>
          <w:color w:val="0000FF"/>
          <w:sz w:val="20"/>
          <w:szCs w:val="20"/>
          <w:u w:val="single"/>
        </w:rPr>
      </w:pPr>
      <w:hyperlink r:id="rId62" w:history="1">
        <w:r w:rsidRPr="008538FF">
          <w:rPr>
            <w:color w:val="0000FF"/>
            <w:sz w:val="20"/>
            <w:szCs w:val="20"/>
            <w:u w:val="single"/>
          </w:rPr>
          <w:t>https://www.tagesschau.de/wirtschaft/weltwirtschaft/trump-zoelle-wirtschaft-100.html</w:t>
        </w:r>
      </w:hyperlink>
    </w:p>
    <w:p w14:paraId="69695BEA" w14:textId="77777777" w:rsidR="00CE5294" w:rsidRPr="00CE5294" w:rsidRDefault="00CE5294" w:rsidP="00CE5294">
      <w:pPr>
        <w:spacing w:after="160" w:line="240" w:lineRule="auto"/>
        <w:rPr>
          <w:rFonts w:eastAsia="Calibri" w:cs="Times New Roman"/>
          <w:color w:val="0000FF"/>
          <w:sz w:val="20"/>
          <w:u w:val="single"/>
        </w:rPr>
      </w:pPr>
      <w:r w:rsidRPr="00CE5294">
        <w:rPr>
          <w:rFonts w:eastAsia="Calibri" w:cs="Times New Roman"/>
          <w:sz w:val="20"/>
        </w:rPr>
        <w:t xml:space="preserve">ZDF (2024), Branche in der Krise - </w:t>
      </w:r>
      <w:proofErr w:type="gramStart"/>
      <w:r w:rsidRPr="00CE5294">
        <w:rPr>
          <w:rFonts w:eastAsia="Calibri" w:cs="Times New Roman"/>
          <w:sz w:val="20"/>
        </w:rPr>
        <w:t>Deutsche</w:t>
      </w:r>
      <w:proofErr w:type="gramEnd"/>
      <w:r w:rsidRPr="00CE5294">
        <w:rPr>
          <w:rFonts w:eastAsia="Calibri" w:cs="Times New Roman"/>
          <w:sz w:val="20"/>
        </w:rPr>
        <w:t xml:space="preserve"> Autoindustrie: Ein Jahr zum Vergessen, Dezember 2024</w:t>
      </w:r>
      <w:r w:rsidRPr="00CE5294">
        <w:rPr>
          <w:rFonts w:eastAsia="Calibri" w:cs="Times New Roman"/>
          <w:color w:val="0000FF"/>
          <w:sz w:val="20"/>
          <w:u w:val="single"/>
        </w:rPr>
        <w:br/>
      </w:r>
      <w:hyperlink r:id="rId63" w:history="1">
        <w:r w:rsidRPr="00CE5294">
          <w:rPr>
            <w:rFonts w:eastAsia="Calibri" w:cs="Times New Roman"/>
            <w:color w:val="0000FF"/>
            <w:sz w:val="20"/>
            <w:u w:val="single"/>
          </w:rPr>
          <w:t>https://www.zdf.de/nachrichten/wirtschaft/autoindustrie-deutschland-krise-aussichten-100.html</w:t>
        </w:r>
      </w:hyperlink>
    </w:p>
    <w:p w14:paraId="09F81B91" w14:textId="77777777" w:rsidR="00CE5294" w:rsidRPr="00CE5294" w:rsidRDefault="00CE5294" w:rsidP="00CE5294">
      <w:pPr>
        <w:spacing w:after="160" w:line="240" w:lineRule="auto"/>
        <w:rPr>
          <w:rFonts w:eastAsia="Calibri" w:cs="Times New Roman"/>
          <w:color w:val="0000FF"/>
          <w:sz w:val="20"/>
          <w:u w:val="single"/>
        </w:rPr>
      </w:pPr>
    </w:p>
    <w:p w14:paraId="4ABC974B" w14:textId="77777777" w:rsidR="00CE5294" w:rsidRPr="002C53DF" w:rsidRDefault="00CE5294" w:rsidP="002C53DF">
      <w:pPr>
        <w:rPr>
          <w:rFonts w:cs="Arial"/>
        </w:rPr>
      </w:pPr>
    </w:p>
    <w:sectPr w:rsidR="00CE5294" w:rsidRPr="002C53DF" w:rsidSect="002C53DF">
      <w:pgSz w:w="11906" w:h="16838"/>
      <w:pgMar w:top="1417" w:right="1417" w:bottom="1134" w:left="1417" w:header="708" w:footer="708"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0DFA5" w14:textId="77777777" w:rsidR="00FB73A2" w:rsidRDefault="00FB73A2" w:rsidP="001B1EFE">
      <w:pPr>
        <w:spacing w:after="0" w:line="240" w:lineRule="auto"/>
      </w:pPr>
      <w:r>
        <w:separator/>
      </w:r>
    </w:p>
  </w:endnote>
  <w:endnote w:type="continuationSeparator" w:id="0">
    <w:p w14:paraId="0ACB0813" w14:textId="77777777" w:rsidR="00FB73A2" w:rsidRDefault="00FB73A2" w:rsidP="001B1EFE">
      <w:pPr>
        <w:spacing w:after="0" w:line="240" w:lineRule="auto"/>
      </w:pPr>
      <w:r>
        <w:continuationSeparator/>
      </w:r>
    </w:p>
  </w:endnote>
  <w:endnote w:type="continuationNotice" w:id="1">
    <w:p w14:paraId="138D0DEA" w14:textId="77777777" w:rsidR="00FB73A2" w:rsidRDefault="00FB73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E2521" w14:textId="4D8922B8" w:rsidR="0052311C" w:rsidRDefault="007F7A54" w:rsidP="001B1EFE">
    <w:pPr>
      <w:pStyle w:val="Fuzeile"/>
      <w:jc w:val="right"/>
    </w:pPr>
    <w:r>
      <w:rPr>
        <w:noProof/>
      </w:rPr>
      <mc:AlternateContent>
        <mc:Choice Requires="wps">
          <w:drawing>
            <wp:anchor distT="45720" distB="45720" distL="114300" distR="114300" simplePos="0" relativeHeight="251658246" behindDoc="0" locked="0" layoutInCell="1" allowOverlap="1" wp14:anchorId="2A89725A" wp14:editId="2105D106">
              <wp:simplePos x="0" y="0"/>
              <wp:positionH relativeFrom="margin">
                <wp:posOffset>4445</wp:posOffset>
              </wp:positionH>
              <wp:positionV relativeFrom="paragraph">
                <wp:posOffset>179607</wp:posOffset>
              </wp:positionV>
              <wp:extent cx="5758815" cy="389255"/>
              <wp:effectExtent l="0" t="0" r="0" b="0"/>
              <wp:wrapNone/>
              <wp:docPr id="19767670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8815" cy="38925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A8DB5A6" w14:textId="524CFF89" w:rsidR="00FE76E8" w:rsidRPr="00FE76E8" w:rsidRDefault="00FE76E8" w:rsidP="00FE76E8">
                          <w:pPr>
                            <w:rPr>
                              <w:color w:val="FFFFFF" w:themeColor="background1"/>
                              <w:lang w:val="en-US"/>
                            </w:rPr>
                          </w:pPr>
                          <w:r w:rsidRPr="00FE76E8">
                            <w:rPr>
                              <w:color w:val="FFFFFF" w:themeColor="background1"/>
                              <w:lang w:val="en-US"/>
                            </w:rPr>
                            <w:t>VIA Consult GmbH &amp; Co. KG</w:t>
                          </w:r>
                        </w:p>
                        <w:p w14:paraId="3ABBDF9E" w14:textId="11D4C4C7" w:rsidR="00FE76E8" w:rsidRPr="008F1BC7" w:rsidRDefault="00FE76E8" w:rsidP="00FE76E8">
                          <w:pPr>
                            <w:jc w:val="left"/>
                            <w:rPr>
                              <w:color w:val="FFFFFF" w:themeColor="background1"/>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89725A" id="_x0000_t202" coordsize="21600,21600" o:spt="202" path="m,l,21600r21600,l21600,xe">
              <v:stroke joinstyle="miter"/>
              <v:path gradientshapeok="t" o:connecttype="rect"/>
            </v:shapetype>
            <v:shape id="_x0000_s1027" type="#_x0000_t202" style="position:absolute;left:0;text-align:left;margin-left:.35pt;margin-top:14.15pt;width:453.45pt;height:30.65pt;z-index:251658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" filled="f" stroked="f">
              <v:textbox>
                <w:txbxContent>
                  <w:p w14:paraId="2A8DB5A6" w14:textId="524CFF89" w:rsidR="00FE76E8" w:rsidRPr="00FE76E8" w:rsidRDefault="00FE76E8" w:rsidP="00FE76E8">
                    <w:pPr>
                      <w:rPr>
                        <w:color w:val="FFFFFF" w:themeColor="background1"/>
                        <w:lang w:val="en-US"/>
                      </w:rPr>
                    </w:pPr>
                    <w:r w:rsidRPr="00FE76E8">
                      <w:rPr>
                        <w:color w:val="FFFFFF" w:themeColor="background1"/>
                        <w:lang w:val="en-US"/>
                      </w:rPr>
                      <w:t>VIA Consult GmbH &amp; Co. KG</w:t>
                    </w:r>
                  </w:p>
                  <w:p w14:paraId="3ABBDF9E" w14:textId="11D4C4C7" w:rsidR="00FE76E8" w:rsidRPr="008F1BC7" w:rsidRDefault="00FE76E8" w:rsidP="00FE76E8">
                    <w:pPr>
                      <w:jc w:val="left"/>
                      <w:rPr>
                        <w:color w:val="FFFFFF" w:themeColor="background1"/>
                        <w:lang w:val="en-US"/>
                      </w:rPr>
                    </w:pPr>
                  </w:p>
                </w:txbxContent>
              </v:textbox>
              <w10:wrap anchorx="margin"/>
            </v:shape>
          </w:pict>
        </mc:Fallback>
      </mc:AlternateContent>
    </w:r>
    <w:r>
      <w:rPr>
        <w:noProof/>
      </w:rPr>
      <mc:AlternateContent>
        <mc:Choice Requires="wps">
          <w:drawing>
            <wp:anchor distT="45720" distB="45720" distL="114300" distR="114300" simplePos="0" relativeHeight="251658245" behindDoc="0" locked="0" layoutInCell="1" allowOverlap="1" wp14:anchorId="0FB0BC3D" wp14:editId="15A38763">
              <wp:simplePos x="0" y="0"/>
              <wp:positionH relativeFrom="page">
                <wp:posOffset>-14605</wp:posOffset>
              </wp:positionH>
              <wp:positionV relativeFrom="paragraph">
                <wp:posOffset>156112</wp:posOffset>
              </wp:positionV>
              <wp:extent cx="7223760" cy="398780"/>
              <wp:effectExtent l="0" t="0" r="0" b="127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23760" cy="39878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11C6962" w14:textId="7006577A" w:rsidR="00FE76E8" w:rsidRDefault="00FE76E8" w:rsidP="00FE76E8">
                          <w:pPr>
                            <w:jc w:val="right"/>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B0BC3D" id="_x0000_s1028" type="#_x0000_t202" style="position:absolute;left:0;text-align:left;margin-left:-1.15pt;margin-top:12.3pt;width:568.8pt;height:31.4pt;z-index:251658245;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" filled="f" stroked="f">
              <v:textbox>
                <w:txbxContent>
                  <w:p w14:paraId="511C6962" w14:textId="7006577A" w:rsidR="00FE76E8" w:rsidRDefault="00FE76E8" w:rsidP="00FE76E8">
                    <w:pPr>
                      <w:jc w:val="right"/>
                    </w:pPr>
                    <w:r>
                      <w:fldChar w:fldCharType="begin"/>
                    </w:r>
                    <w:r>
                      <w:instrText>PAGE   \* MERGEFORMAT</w:instrText>
                    </w:r>
                    <w:r>
                      <w:fldChar w:fldCharType="separate"/>
                    </w:r>
                    <w:r>
                      <w:t>1</w:t>
                    </w:r>
                    <w:r>
                      <w:fldChar w:fldCharType="end"/>
                    </w:r>
                  </w:p>
                </w:txbxContent>
              </v:textbox>
              <w10:wrap anchorx="page"/>
            </v:shape>
          </w:pict>
        </mc:Fallback>
      </mc:AlternateContent>
    </w:r>
    <w:r>
      <w:rPr>
        <w:noProof/>
      </w:rPr>
      <mc:AlternateContent>
        <mc:Choice Requires="wpg">
          <w:drawing>
            <wp:anchor distT="0" distB="0" distL="114300" distR="114300" simplePos="0" relativeHeight="251658244" behindDoc="1" locked="0" layoutInCell="1" allowOverlap="1" wp14:anchorId="6D3BC944" wp14:editId="39C9EF9B">
              <wp:simplePos x="0" y="0"/>
              <wp:positionH relativeFrom="column">
                <wp:posOffset>-895350</wp:posOffset>
              </wp:positionH>
              <wp:positionV relativeFrom="paragraph">
                <wp:posOffset>-98962</wp:posOffset>
              </wp:positionV>
              <wp:extent cx="7834630" cy="814705"/>
              <wp:effectExtent l="0" t="0" r="0" b="4445"/>
              <wp:wrapNone/>
              <wp:docPr id="759270711" name="Gruppieren 16"/>
              <wp:cNvGraphicFramePr/>
              <a:graphic xmlns:a="http://schemas.openxmlformats.org/drawingml/2006/main">
                <a:graphicData uri="http://schemas.microsoft.com/office/word/2010/wordprocessingGroup">
                  <wpg:wgp>
                    <wpg:cNvGrpSpPr/>
                    <wpg:grpSpPr>
                      <a:xfrm>
                        <a:off x="0" y="0"/>
                        <a:ext cx="7834630" cy="814705"/>
                        <a:chOff x="0" y="0"/>
                        <a:chExt cx="7834630" cy="815177"/>
                      </a:xfrm>
                    </wpg:grpSpPr>
                    <wps:wsp>
                      <wps:cNvPr id="233900743" name="Rechteck 1"/>
                      <wps:cNvSpPr/>
                      <wps:spPr>
                        <a:xfrm>
                          <a:off x="0" y="159391"/>
                          <a:ext cx="7834630" cy="539750"/>
                        </a:xfrm>
                        <a:prstGeom prst="rect">
                          <a:avLst/>
                        </a:prstGeom>
                        <a:solidFill>
                          <a:srgbClr val="1E2445"/>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341792486" name="Rechteck 5"/>
                      <wps:cNvSpPr/>
                      <wps:spPr>
                        <a:xfrm>
                          <a:off x="6652470" y="109057"/>
                          <a:ext cx="902970" cy="70612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7670346" name="Rechtwinkliges Dreieck 4"/>
                      <wps:cNvSpPr/>
                      <wps:spPr>
                        <a:xfrm rot="10800000">
                          <a:off x="6316910" y="0"/>
                          <a:ext cx="339090" cy="754380"/>
                        </a:xfrm>
                        <a:prstGeom prst="rtTriangl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1E96DF3" id="Gruppieren 16" o:spid="_x0000_s1026" style="position:absolute;margin-left:-70.5pt;margin-top:-7.8pt;width:616.9pt;height:64.15pt;z-index:-251640832" coordsize="78346,8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">
              <v:rect id="Rechteck 1" o:spid="_x0000_s1027" style="position:absolute;top:1593;width:78346;height:5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" fillcolor="#1e2445" stroked="f" strokeweight="1pt"/>
              <v:rect id="Rechteck 5" o:spid="_x0000_s1028" style="position:absolute;left:66524;top:1090;width:9030;height:70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" fillcolor="white [3212]" stroked="f" strokeweight="1pt"/>
              <v:shapetype id="_x0000_t6" coordsize="21600,21600" o:spt="6" path="m,l,21600r21600,xe">
                <v:stroke joinstyle="miter"/>
                <v:path gradientshapeok="t" o:connecttype="custom" o:connectlocs="0,0;0,10800;0,21600;10800,21600;21600,21600;10800,10800" textboxrect="1800,12600,12600,19800"/>
              </v:shapetype>
              <v:shape id="Rechtwinkliges Dreieck 4" o:spid="_x0000_s1029" type="#_x0000_t6" style="position:absolute;left:63169;width:3391;height:7543;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" fillcolor="white [3212]" stroked="f" strokeweight="1pt"/>
            </v:group>
          </w:pict>
        </mc:Fallback>
      </mc:AlternateContent>
    </w:r>
    <w:sdt>
      <w:sdtPr>
        <w:id w:val="1197048636"/>
        <w:docPartObj>
          <w:docPartGallery w:val="Page Numbers (Bottom of Page)"/>
          <w:docPartUnique/>
        </w:docPartObj>
      </w:sdtPr>
      <w:sdtEndPr/>
      <w:sdtContent>
        <w:r w:rsidR="00CA0A57" w:rsidRPr="0069074E">
          <w:rPr>
            <w:noProof/>
          </w:rPr>
          <mc:AlternateContent>
            <mc:Choice Requires="wps">
              <w:drawing>
                <wp:anchor distT="0" distB="0" distL="114300" distR="114300" simplePos="0" relativeHeight="251658242" behindDoc="0" locked="0" layoutInCell="1" allowOverlap="1" wp14:anchorId="04E9E394" wp14:editId="26995834">
                  <wp:simplePos x="0" y="0"/>
                  <wp:positionH relativeFrom="rightMargin">
                    <wp:posOffset>-233680</wp:posOffset>
                  </wp:positionH>
                  <wp:positionV relativeFrom="paragraph">
                    <wp:posOffset>-836930</wp:posOffset>
                  </wp:positionV>
                  <wp:extent cx="902970" cy="706120"/>
                  <wp:effectExtent l="0" t="0" r="0" b="0"/>
                  <wp:wrapNone/>
                  <wp:docPr id="661273763" name="Rechteck 5"/>
                  <wp:cNvGraphicFramePr/>
                  <a:graphic xmlns:a="http://schemas.openxmlformats.org/drawingml/2006/main">
                    <a:graphicData uri="http://schemas.microsoft.com/office/word/2010/wordprocessingShape">
                      <wps:wsp>
                        <wps:cNvSpPr/>
                        <wps:spPr>
                          <a:xfrm>
                            <a:off x="0" y="0"/>
                            <a:ext cx="902970" cy="70612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492FDC" id="Rechteck 5" o:spid="_x0000_s1026" style="position:absolute;margin-left:-18.4pt;margin-top:-65.9pt;width:71.1pt;height:55.6pt;z-index:251655167;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" fillcolor="white [3212]" stroked="f" strokeweight="1pt">
                  <w10:wrap anchorx="margin"/>
                </v:rect>
              </w:pict>
            </mc:Fallback>
          </mc:AlternateConten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51D51" w14:textId="77777777" w:rsidR="00FB73A2" w:rsidRDefault="00FB73A2" w:rsidP="001B1EFE">
      <w:pPr>
        <w:spacing w:after="0" w:line="240" w:lineRule="auto"/>
      </w:pPr>
      <w:r>
        <w:separator/>
      </w:r>
    </w:p>
  </w:footnote>
  <w:footnote w:type="continuationSeparator" w:id="0">
    <w:p w14:paraId="69E90679" w14:textId="77777777" w:rsidR="00FB73A2" w:rsidRDefault="00FB73A2" w:rsidP="001B1EFE">
      <w:pPr>
        <w:spacing w:after="0" w:line="240" w:lineRule="auto"/>
      </w:pPr>
      <w:r>
        <w:continuationSeparator/>
      </w:r>
    </w:p>
  </w:footnote>
  <w:footnote w:type="continuationNotice" w:id="1">
    <w:p w14:paraId="3B207CA0" w14:textId="77777777" w:rsidR="00FB73A2" w:rsidRDefault="00FB73A2">
      <w:pPr>
        <w:spacing w:after="0" w:line="240" w:lineRule="auto"/>
      </w:pPr>
    </w:p>
  </w:footnote>
  <w:footnote w:id="2">
    <w:p w14:paraId="41371871" w14:textId="0D1A2A7C" w:rsidR="00CE5294" w:rsidRPr="002B10CE" w:rsidRDefault="00CE5294" w:rsidP="00CE5294">
      <w:pPr>
        <w:pStyle w:val="Funotentext"/>
        <w:rPr>
          <w:lang w:val="it-IT"/>
        </w:rPr>
      </w:pPr>
      <w:r>
        <w:rPr>
          <w:rStyle w:val="Funotenzeichen"/>
        </w:rPr>
        <w:footnoteRef/>
      </w:r>
      <w:r w:rsidRPr="002B10CE">
        <w:rPr>
          <w:lang w:val="it-IT"/>
        </w:rPr>
        <w:t xml:space="preserve"> IMF, 2025</w:t>
      </w:r>
      <w:r w:rsidR="0033729A">
        <w:rPr>
          <w:lang w:val="it-IT"/>
        </w:rPr>
        <w:t>a</w:t>
      </w:r>
    </w:p>
  </w:footnote>
  <w:footnote w:id="3">
    <w:p w14:paraId="42C821C6" w14:textId="7A1B206C" w:rsidR="009A2E58" w:rsidRPr="00911379" w:rsidRDefault="009A2E58">
      <w:pPr>
        <w:pStyle w:val="Funotentext"/>
        <w:rPr>
          <w:lang w:val="it-IT"/>
        </w:rPr>
      </w:pPr>
      <w:r>
        <w:rPr>
          <w:rStyle w:val="Funotenzeichen"/>
        </w:rPr>
        <w:footnoteRef/>
      </w:r>
      <w:r w:rsidRPr="00911379">
        <w:rPr>
          <w:lang w:val="it-IT"/>
        </w:rPr>
        <w:t xml:space="preserve"> </w:t>
      </w:r>
      <w:r w:rsidRPr="002B10CE">
        <w:rPr>
          <w:lang w:val="it-IT"/>
        </w:rPr>
        <w:t>IMF, 2025</w:t>
      </w:r>
      <w:r>
        <w:rPr>
          <w:lang w:val="it-IT"/>
        </w:rPr>
        <w:t>b</w:t>
      </w:r>
    </w:p>
  </w:footnote>
  <w:footnote w:id="4">
    <w:p w14:paraId="2931C1EF" w14:textId="22067564" w:rsidR="00CE5294" w:rsidRPr="00F20393" w:rsidRDefault="00CE5294" w:rsidP="00CE5294">
      <w:pPr>
        <w:pStyle w:val="Funotentext"/>
        <w:rPr>
          <w:lang w:val="it-IT"/>
        </w:rPr>
      </w:pPr>
      <w:r>
        <w:rPr>
          <w:rStyle w:val="Funotenzeichen"/>
        </w:rPr>
        <w:footnoteRef/>
      </w:r>
      <w:r w:rsidRPr="00F20393">
        <w:rPr>
          <w:lang w:val="it-IT"/>
        </w:rPr>
        <w:t xml:space="preserve"> </w:t>
      </w:r>
      <w:r w:rsidR="009913A9">
        <w:rPr>
          <w:lang w:val="it-IT"/>
        </w:rPr>
        <w:t>Eurostat</w:t>
      </w:r>
      <w:r w:rsidRPr="00F20393">
        <w:rPr>
          <w:lang w:val="it-IT"/>
        </w:rPr>
        <w:t>, 2025</w:t>
      </w:r>
      <w:r>
        <w:rPr>
          <w:lang w:val="it-IT"/>
        </w:rPr>
        <w:t>a</w:t>
      </w:r>
    </w:p>
  </w:footnote>
  <w:footnote w:id="5">
    <w:p w14:paraId="68D05700" w14:textId="72EFCF61" w:rsidR="00894085" w:rsidRPr="00894085" w:rsidRDefault="00894085">
      <w:pPr>
        <w:pStyle w:val="Funotentext"/>
        <w:rPr>
          <w:lang w:val="it-IT"/>
        </w:rPr>
      </w:pPr>
      <w:r>
        <w:rPr>
          <w:rStyle w:val="Funotenzeichen"/>
        </w:rPr>
        <w:footnoteRef/>
      </w:r>
      <w:r w:rsidRPr="00894085">
        <w:rPr>
          <w:lang w:val="it-IT"/>
        </w:rPr>
        <w:t xml:space="preserve"> </w:t>
      </w:r>
      <w:r>
        <w:rPr>
          <w:lang w:val="it-IT"/>
        </w:rPr>
        <w:t>Eurostat</w:t>
      </w:r>
      <w:r w:rsidRPr="00F20393">
        <w:rPr>
          <w:lang w:val="it-IT"/>
        </w:rPr>
        <w:t>, 2025</w:t>
      </w:r>
      <w:r>
        <w:rPr>
          <w:lang w:val="it-IT"/>
        </w:rPr>
        <w:t>b</w:t>
      </w:r>
    </w:p>
  </w:footnote>
  <w:footnote w:id="6">
    <w:p w14:paraId="15F2B3FB" w14:textId="196ADB32" w:rsidR="00911379" w:rsidRPr="00911379" w:rsidRDefault="00911379">
      <w:pPr>
        <w:pStyle w:val="Funotentext"/>
        <w:rPr>
          <w:lang w:val="it-IT"/>
        </w:rPr>
      </w:pPr>
      <w:r>
        <w:rPr>
          <w:rStyle w:val="Funotenzeichen"/>
        </w:rPr>
        <w:footnoteRef/>
      </w:r>
      <w:r w:rsidRPr="00911379">
        <w:rPr>
          <w:lang w:val="it-IT"/>
        </w:rPr>
        <w:t xml:space="preserve"> </w:t>
      </w:r>
      <w:proofErr w:type="spellStart"/>
      <w:r w:rsidRPr="00894085">
        <w:rPr>
          <w:lang w:val="it-IT"/>
        </w:rPr>
        <w:t>Destatis</w:t>
      </w:r>
      <w:proofErr w:type="spellEnd"/>
      <w:r w:rsidRPr="00894085">
        <w:rPr>
          <w:lang w:val="it-IT"/>
        </w:rPr>
        <w:t>, 2025a</w:t>
      </w:r>
    </w:p>
  </w:footnote>
  <w:footnote w:id="7">
    <w:p w14:paraId="3D36EF7E" w14:textId="77777777" w:rsidR="00CE5294" w:rsidRPr="00823AA1" w:rsidRDefault="00CE5294" w:rsidP="00CE5294">
      <w:pPr>
        <w:pStyle w:val="Funotentext"/>
        <w:rPr>
          <w:lang w:val="it-IT"/>
        </w:rPr>
      </w:pPr>
      <w:r>
        <w:rPr>
          <w:rStyle w:val="Funotenzeichen"/>
        </w:rPr>
        <w:footnoteRef/>
      </w:r>
      <w:r w:rsidRPr="00823AA1">
        <w:rPr>
          <w:lang w:val="it-IT"/>
        </w:rPr>
        <w:t xml:space="preserve"> </w:t>
      </w:r>
      <w:proofErr w:type="spellStart"/>
      <w:r w:rsidRPr="00823AA1">
        <w:rPr>
          <w:lang w:val="it-IT"/>
        </w:rPr>
        <w:t>Destatis</w:t>
      </w:r>
      <w:proofErr w:type="spellEnd"/>
      <w:r w:rsidRPr="00823AA1">
        <w:rPr>
          <w:lang w:val="it-IT"/>
        </w:rPr>
        <w:t>, 2025b</w:t>
      </w:r>
    </w:p>
  </w:footnote>
  <w:footnote w:id="8">
    <w:p w14:paraId="7F8E7DC0" w14:textId="77777777" w:rsidR="00CE5294" w:rsidRPr="00823AA1" w:rsidRDefault="00CE5294" w:rsidP="00CE5294">
      <w:pPr>
        <w:pStyle w:val="Funotentext"/>
        <w:rPr>
          <w:lang w:val="it-IT"/>
        </w:rPr>
      </w:pPr>
      <w:r>
        <w:rPr>
          <w:rStyle w:val="Funotenzeichen"/>
        </w:rPr>
        <w:footnoteRef/>
      </w:r>
      <w:r w:rsidRPr="00823AA1">
        <w:rPr>
          <w:lang w:val="it-IT"/>
        </w:rPr>
        <w:t xml:space="preserve"> ILO, 2025</w:t>
      </w:r>
    </w:p>
  </w:footnote>
  <w:footnote w:id="9">
    <w:p w14:paraId="187B2BCF" w14:textId="1F160EE4" w:rsidR="00CE5294" w:rsidRPr="00E62077" w:rsidRDefault="00CE5294" w:rsidP="00CE5294">
      <w:pPr>
        <w:pStyle w:val="Funotentext"/>
        <w:rPr>
          <w:lang w:val="it-IT"/>
        </w:rPr>
      </w:pPr>
      <w:r>
        <w:rPr>
          <w:rStyle w:val="Funotenzeichen"/>
        </w:rPr>
        <w:footnoteRef/>
      </w:r>
      <w:r w:rsidRPr="00E62077">
        <w:rPr>
          <w:lang w:val="it-IT"/>
        </w:rPr>
        <w:t xml:space="preserve"> </w:t>
      </w:r>
      <w:r w:rsidR="00E62077" w:rsidRPr="00E62077">
        <w:rPr>
          <w:lang w:val="it-IT"/>
        </w:rPr>
        <w:t>Eurostat</w:t>
      </w:r>
      <w:r w:rsidRPr="00E62077">
        <w:rPr>
          <w:lang w:val="it-IT"/>
        </w:rPr>
        <w:t>, 2025c</w:t>
      </w:r>
    </w:p>
  </w:footnote>
  <w:footnote w:id="10">
    <w:p w14:paraId="484C5DD2" w14:textId="3CEB8CB2" w:rsidR="00CE5294" w:rsidRPr="00823AA1" w:rsidRDefault="00CE5294" w:rsidP="00CE5294">
      <w:pPr>
        <w:pStyle w:val="Funotentext"/>
      </w:pPr>
      <w:r>
        <w:rPr>
          <w:rStyle w:val="Funotenzeichen"/>
        </w:rPr>
        <w:footnoteRef/>
      </w:r>
      <w:r w:rsidRPr="00823AA1">
        <w:t xml:space="preserve"> </w:t>
      </w:r>
      <w:r w:rsidR="00E62077" w:rsidRPr="00823AA1">
        <w:t>Eurostat, 2025c</w:t>
      </w:r>
    </w:p>
  </w:footnote>
  <w:footnote w:id="11">
    <w:p w14:paraId="34B80EEA" w14:textId="6F01EF3E" w:rsidR="00CE5294" w:rsidRPr="00823AA1" w:rsidRDefault="00CE5294" w:rsidP="00CE5294">
      <w:pPr>
        <w:pStyle w:val="Funotentext"/>
      </w:pPr>
      <w:r>
        <w:rPr>
          <w:rStyle w:val="Funotenzeichen"/>
        </w:rPr>
        <w:footnoteRef/>
      </w:r>
      <w:r w:rsidRPr="00823AA1">
        <w:t xml:space="preserve"> </w:t>
      </w:r>
      <w:r w:rsidR="00E62077" w:rsidRPr="00823AA1">
        <w:t>Eurostat, 2025c</w:t>
      </w:r>
    </w:p>
  </w:footnote>
  <w:footnote w:id="12">
    <w:p w14:paraId="142107BE" w14:textId="77777777" w:rsidR="00CE5294" w:rsidRDefault="00CE5294" w:rsidP="00CE5294">
      <w:pPr>
        <w:pStyle w:val="Funotentext"/>
      </w:pPr>
      <w:r>
        <w:rPr>
          <w:rStyle w:val="Funotenzeichen"/>
        </w:rPr>
        <w:footnoteRef/>
      </w:r>
      <w:r>
        <w:t xml:space="preserve"> Bundesagentur für Arbeit, 2025a</w:t>
      </w:r>
    </w:p>
  </w:footnote>
  <w:footnote w:id="13">
    <w:p w14:paraId="5232CA9B" w14:textId="77777777" w:rsidR="00CE5294" w:rsidRDefault="00CE5294" w:rsidP="00CE5294">
      <w:pPr>
        <w:pStyle w:val="Funotentext"/>
      </w:pPr>
      <w:r>
        <w:rPr>
          <w:rStyle w:val="Funotenzeichen"/>
        </w:rPr>
        <w:footnoteRef/>
      </w:r>
      <w:r>
        <w:t xml:space="preserve"> Bundesagentur für Arbeit, 2025a</w:t>
      </w:r>
    </w:p>
  </w:footnote>
  <w:footnote w:id="14">
    <w:p w14:paraId="46C8909E" w14:textId="7BB1C036" w:rsidR="003C090E" w:rsidRDefault="003C090E">
      <w:pPr>
        <w:pStyle w:val="Funotentext"/>
      </w:pPr>
      <w:r>
        <w:rPr>
          <w:rStyle w:val="Funotenzeichen"/>
        </w:rPr>
        <w:footnoteRef/>
      </w:r>
      <w:r>
        <w:t xml:space="preserve"> Bundesagentur für Arbeit, 2025b</w:t>
      </w:r>
    </w:p>
  </w:footnote>
  <w:footnote w:id="15">
    <w:p w14:paraId="07389893" w14:textId="77777777" w:rsidR="00CE5294" w:rsidRPr="00823AA1" w:rsidRDefault="00CE5294" w:rsidP="00CE5294">
      <w:pPr>
        <w:pStyle w:val="Funotentext"/>
        <w:rPr>
          <w:lang w:val="it-IT"/>
        </w:rPr>
      </w:pPr>
      <w:r>
        <w:rPr>
          <w:rStyle w:val="Funotenzeichen"/>
        </w:rPr>
        <w:footnoteRef/>
      </w:r>
      <w:r w:rsidRPr="00823AA1">
        <w:rPr>
          <w:lang w:val="it-IT"/>
        </w:rPr>
        <w:t xml:space="preserve"> VDA, 2025a</w:t>
      </w:r>
    </w:p>
  </w:footnote>
  <w:footnote w:id="16">
    <w:p w14:paraId="2141E804" w14:textId="77777777" w:rsidR="00CE5294" w:rsidRPr="002A2C8C" w:rsidRDefault="00CE5294" w:rsidP="00CE5294">
      <w:pPr>
        <w:pStyle w:val="Funotentext"/>
        <w:rPr>
          <w:lang w:val="it-IT"/>
        </w:rPr>
      </w:pPr>
      <w:r>
        <w:rPr>
          <w:rStyle w:val="Funotenzeichen"/>
        </w:rPr>
        <w:footnoteRef/>
      </w:r>
      <w:r w:rsidRPr="002A2C8C">
        <w:rPr>
          <w:lang w:val="it-IT"/>
        </w:rPr>
        <w:t xml:space="preserve"> </w:t>
      </w:r>
      <w:r w:rsidRPr="00BF3C4B">
        <w:rPr>
          <w:lang w:val="it-IT"/>
        </w:rPr>
        <w:t>VDA</w:t>
      </w:r>
      <w:r>
        <w:rPr>
          <w:lang w:val="it-IT"/>
        </w:rPr>
        <w:t>, 2025a</w:t>
      </w:r>
    </w:p>
  </w:footnote>
  <w:footnote w:id="17">
    <w:p w14:paraId="786EA629" w14:textId="77777777" w:rsidR="00CE5294" w:rsidRPr="00BF7A74" w:rsidRDefault="00CE5294" w:rsidP="00CE5294">
      <w:pPr>
        <w:pStyle w:val="Funotentext"/>
        <w:rPr>
          <w:lang w:val="it-IT"/>
        </w:rPr>
      </w:pPr>
      <w:r>
        <w:rPr>
          <w:rStyle w:val="Funotenzeichen"/>
        </w:rPr>
        <w:footnoteRef/>
      </w:r>
      <w:r w:rsidRPr="00BF7A74">
        <w:rPr>
          <w:lang w:val="it-IT"/>
        </w:rPr>
        <w:t xml:space="preserve"> </w:t>
      </w:r>
      <w:r w:rsidRPr="00BF3C4B">
        <w:rPr>
          <w:lang w:val="it-IT"/>
        </w:rPr>
        <w:t>VDA</w:t>
      </w:r>
      <w:r>
        <w:rPr>
          <w:lang w:val="it-IT"/>
        </w:rPr>
        <w:t>, 2025a</w:t>
      </w:r>
    </w:p>
  </w:footnote>
  <w:footnote w:id="18">
    <w:p w14:paraId="62CF4563" w14:textId="77777777" w:rsidR="00CE5294" w:rsidRPr="00607655" w:rsidRDefault="00CE5294" w:rsidP="00CE5294">
      <w:pPr>
        <w:pStyle w:val="Funotentext"/>
        <w:rPr>
          <w:lang w:val="en-GB"/>
        </w:rPr>
      </w:pPr>
      <w:r>
        <w:rPr>
          <w:rStyle w:val="Funotenzeichen"/>
        </w:rPr>
        <w:footnoteRef/>
      </w:r>
      <w:r w:rsidRPr="00607655">
        <w:rPr>
          <w:lang w:val="en-GB"/>
        </w:rPr>
        <w:t xml:space="preserve"> </w:t>
      </w:r>
      <w:proofErr w:type="spellStart"/>
      <w:r w:rsidRPr="00607655">
        <w:rPr>
          <w:lang w:val="en-GB"/>
        </w:rPr>
        <w:t>acea</w:t>
      </w:r>
      <w:proofErr w:type="spellEnd"/>
      <w:r w:rsidRPr="00607655">
        <w:rPr>
          <w:lang w:val="en-GB"/>
        </w:rPr>
        <w:t>, 2025a</w:t>
      </w:r>
    </w:p>
  </w:footnote>
  <w:footnote w:id="19">
    <w:p w14:paraId="44A5DAE1" w14:textId="77777777" w:rsidR="00CE5294" w:rsidRPr="00607655" w:rsidRDefault="00CE5294" w:rsidP="00CE5294">
      <w:pPr>
        <w:pStyle w:val="Funotentext"/>
        <w:rPr>
          <w:lang w:val="en-GB"/>
        </w:rPr>
      </w:pPr>
      <w:r>
        <w:rPr>
          <w:rStyle w:val="Funotenzeichen"/>
        </w:rPr>
        <w:footnoteRef/>
      </w:r>
      <w:r w:rsidRPr="00607655">
        <w:rPr>
          <w:lang w:val="en-GB"/>
        </w:rPr>
        <w:t xml:space="preserve"> </w:t>
      </w:r>
      <w:proofErr w:type="spellStart"/>
      <w:r w:rsidRPr="00607655">
        <w:rPr>
          <w:lang w:val="en-GB"/>
        </w:rPr>
        <w:t>acea</w:t>
      </w:r>
      <w:proofErr w:type="spellEnd"/>
      <w:r w:rsidRPr="00607655">
        <w:rPr>
          <w:lang w:val="en-GB"/>
        </w:rPr>
        <w:t>, 2025a</w:t>
      </w:r>
    </w:p>
  </w:footnote>
  <w:footnote w:id="20">
    <w:p w14:paraId="29CAC381" w14:textId="77777777" w:rsidR="00CE5294" w:rsidRPr="00607655" w:rsidRDefault="00CE5294" w:rsidP="00CE5294">
      <w:pPr>
        <w:pStyle w:val="Funotentext"/>
        <w:rPr>
          <w:lang w:val="en-GB"/>
        </w:rPr>
      </w:pPr>
      <w:r>
        <w:rPr>
          <w:rStyle w:val="Funotenzeichen"/>
        </w:rPr>
        <w:footnoteRef/>
      </w:r>
      <w:r w:rsidRPr="00607655">
        <w:rPr>
          <w:lang w:val="en-GB"/>
        </w:rPr>
        <w:t xml:space="preserve"> </w:t>
      </w:r>
      <w:proofErr w:type="spellStart"/>
      <w:r w:rsidRPr="00607655">
        <w:rPr>
          <w:lang w:val="en-GB"/>
        </w:rPr>
        <w:t>acea</w:t>
      </w:r>
      <w:proofErr w:type="spellEnd"/>
      <w:r w:rsidRPr="00607655">
        <w:rPr>
          <w:lang w:val="en-GB"/>
        </w:rPr>
        <w:t>, 2025a</w:t>
      </w:r>
    </w:p>
  </w:footnote>
  <w:footnote w:id="21">
    <w:p w14:paraId="62BAF691" w14:textId="77777777" w:rsidR="00CE5294" w:rsidRPr="00B96EEC" w:rsidRDefault="00CE5294" w:rsidP="00CE5294">
      <w:pPr>
        <w:pStyle w:val="Funotentext"/>
        <w:rPr>
          <w:lang w:val="en-GB"/>
        </w:rPr>
      </w:pPr>
      <w:r>
        <w:rPr>
          <w:rStyle w:val="Funotenzeichen"/>
        </w:rPr>
        <w:footnoteRef/>
      </w:r>
      <w:r w:rsidRPr="00B96EEC">
        <w:rPr>
          <w:lang w:val="en-GB"/>
        </w:rPr>
        <w:t xml:space="preserve"> </w:t>
      </w:r>
      <w:proofErr w:type="spellStart"/>
      <w:r w:rsidRPr="00B96EEC">
        <w:rPr>
          <w:lang w:val="en-GB"/>
        </w:rPr>
        <w:t>acea</w:t>
      </w:r>
      <w:proofErr w:type="spellEnd"/>
      <w:r w:rsidRPr="00B96EEC">
        <w:rPr>
          <w:lang w:val="en-GB"/>
        </w:rPr>
        <w:t>, 2025a</w:t>
      </w:r>
    </w:p>
  </w:footnote>
  <w:footnote w:id="22">
    <w:p w14:paraId="3991F630" w14:textId="77777777" w:rsidR="00CE5294" w:rsidRPr="00B96EEC" w:rsidRDefault="00CE5294" w:rsidP="00CE5294">
      <w:pPr>
        <w:pStyle w:val="Funotentext"/>
        <w:rPr>
          <w:lang w:val="en-GB"/>
        </w:rPr>
      </w:pPr>
      <w:r>
        <w:rPr>
          <w:rStyle w:val="Funotenzeichen"/>
        </w:rPr>
        <w:footnoteRef/>
      </w:r>
      <w:r w:rsidRPr="00B96EEC">
        <w:rPr>
          <w:lang w:val="en-GB"/>
        </w:rPr>
        <w:t xml:space="preserve"> </w:t>
      </w:r>
      <w:proofErr w:type="spellStart"/>
      <w:r w:rsidRPr="00B96EEC">
        <w:rPr>
          <w:lang w:val="en-GB"/>
        </w:rPr>
        <w:t>Kraftfahrt-Bundesamt</w:t>
      </w:r>
      <w:proofErr w:type="spellEnd"/>
      <w:r w:rsidRPr="00B96EEC">
        <w:rPr>
          <w:lang w:val="en-GB"/>
        </w:rPr>
        <w:t>, 2025a</w:t>
      </w:r>
    </w:p>
  </w:footnote>
  <w:footnote w:id="23">
    <w:p w14:paraId="2F9E5D4A" w14:textId="77777777" w:rsidR="00CE5294" w:rsidRDefault="00CE5294" w:rsidP="00CE5294">
      <w:pPr>
        <w:pStyle w:val="Funotentext"/>
      </w:pPr>
      <w:r>
        <w:rPr>
          <w:rStyle w:val="Funotenzeichen"/>
        </w:rPr>
        <w:footnoteRef/>
      </w:r>
      <w:r>
        <w:t xml:space="preserve"> ZDF, 2024</w:t>
      </w:r>
    </w:p>
  </w:footnote>
  <w:footnote w:id="24">
    <w:p w14:paraId="696DAF28" w14:textId="77777777" w:rsidR="00CE5294" w:rsidRDefault="00CE5294" w:rsidP="00CE5294">
      <w:pPr>
        <w:pStyle w:val="Funotentext"/>
      </w:pPr>
      <w:r>
        <w:rPr>
          <w:rStyle w:val="Funotenzeichen"/>
        </w:rPr>
        <w:footnoteRef/>
      </w:r>
      <w:r>
        <w:t xml:space="preserve"> </w:t>
      </w:r>
      <w:r w:rsidRPr="00F375F4">
        <w:t>VDA, 2025b</w:t>
      </w:r>
    </w:p>
  </w:footnote>
  <w:footnote w:id="25">
    <w:p w14:paraId="2FE5721D" w14:textId="77777777" w:rsidR="00CE5294" w:rsidRDefault="00CE5294" w:rsidP="00CE5294">
      <w:pPr>
        <w:pStyle w:val="Funotentext"/>
      </w:pPr>
      <w:r>
        <w:rPr>
          <w:rStyle w:val="Funotenzeichen"/>
        </w:rPr>
        <w:footnoteRef/>
      </w:r>
      <w:r>
        <w:t xml:space="preserve"> </w:t>
      </w:r>
      <w:r w:rsidRPr="00F375F4">
        <w:t>VDA, 2025b</w:t>
      </w:r>
    </w:p>
  </w:footnote>
  <w:footnote w:id="26">
    <w:p w14:paraId="1057A18C" w14:textId="77777777" w:rsidR="00CE5294" w:rsidRPr="007E48EC" w:rsidRDefault="00CE5294" w:rsidP="00CE5294">
      <w:pPr>
        <w:pStyle w:val="Funotentext"/>
      </w:pPr>
      <w:r>
        <w:rPr>
          <w:rStyle w:val="Funotenzeichen"/>
        </w:rPr>
        <w:footnoteRef/>
      </w:r>
      <w:r w:rsidRPr="007E48EC">
        <w:t xml:space="preserve"> ifo Institut, 2025</w:t>
      </w:r>
    </w:p>
  </w:footnote>
  <w:footnote w:id="27">
    <w:p w14:paraId="0CDD37A0" w14:textId="77777777" w:rsidR="00CE5294" w:rsidRDefault="00CE5294" w:rsidP="00CE5294">
      <w:pPr>
        <w:pStyle w:val="Funotentext"/>
      </w:pPr>
      <w:r>
        <w:rPr>
          <w:rStyle w:val="Funotenzeichen"/>
        </w:rPr>
        <w:footnoteRef/>
      </w:r>
      <w:r>
        <w:t xml:space="preserve"> ZDF, 2024</w:t>
      </w:r>
    </w:p>
  </w:footnote>
  <w:footnote w:id="28">
    <w:p w14:paraId="1DABBEB5" w14:textId="77777777" w:rsidR="00CE5294" w:rsidRPr="007E48EC" w:rsidRDefault="00CE5294" w:rsidP="00CE5294">
      <w:pPr>
        <w:pStyle w:val="Funotentext"/>
      </w:pPr>
      <w:r>
        <w:rPr>
          <w:rStyle w:val="Funotenzeichen"/>
        </w:rPr>
        <w:footnoteRef/>
      </w:r>
      <w:r w:rsidRPr="007E48EC">
        <w:t xml:space="preserve"> VDA, 2025b</w:t>
      </w:r>
    </w:p>
  </w:footnote>
  <w:footnote w:id="29">
    <w:p w14:paraId="60BFE777" w14:textId="77777777" w:rsidR="00CE5294" w:rsidRPr="00BF7A74" w:rsidRDefault="00CE5294" w:rsidP="00CE5294">
      <w:pPr>
        <w:pStyle w:val="Funotentext"/>
      </w:pPr>
      <w:r>
        <w:rPr>
          <w:rStyle w:val="Funotenzeichen"/>
        </w:rPr>
        <w:footnoteRef/>
      </w:r>
      <w:r w:rsidRPr="00BF7A74">
        <w:t xml:space="preserve"> VDA, 2025b</w:t>
      </w:r>
    </w:p>
  </w:footnote>
  <w:footnote w:id="30">
    <w:p w14:paraId="3D1FA589" w14:textId="77777777" w:rsidR="00CE5294" w:rsidRPr="00607655" w:rsidRDefault="00CE5294" w:rsidP="00CE5294">
      <w:pPr>
        <w:pStyle w:val="Funotentext"/>
      </w:pPr>
      <w:r>
        <w:rPr>
          <w:rStyle w:val="Funotenzeichen"/>
        </w:rPr>
        <w:footnoteRef/>
      </w:r>
      <w:r w:rsidRPr="00607655">
        <w:t xml:space="preserve"> </w:t>
      </w:r>
      <w:proofErr w:type="spellStart"/>
      <w:r w:rsidRPr="00607655">
        <w:t>acea</w:t>
      </w:r>
      <w:proofErr w:type="spellEnd"/>
      <w:r w:rsidRPr="00607655">
        <w:t>, 2025b</w:t>
      </w:r>
    </w:p>
  </w:footnote>
  <w:footnote w:id="31">
    <w:p w14:paraId="021E426E" w14:textId="77777777" w:rsidR="00CE5294" w:rsidRPr="004838D3" w:rsidRDefault="00CE5294" w:rsidP="00CE5294">
      <w:pPr>
        <w:pStyle w:val="Funotentext"/>
        <w:rPr>
          <w:lang w:val="en-GB"/>
        </w:rPr>
      </w:pPr>
      <w:r>
        <w:rPr>
          <w:rStyle w:val="Funotenzeichen"/>
        </w:rPr>
        <w:footnoteRef/>
      </w:r>
      <w:r w:rsidRPr="004838D3">
        <w:rPr>
          <w:lang w:val="en-GB"/>
        </w:rPr>
        <w:t xml:space="preserve"> </w:t>
      </w:r>
      <w:proofErr w:type="spellStart"/>
      <w:r w:rsidRPr="004838D3">
        <w:rPr>
          <w:lang w:val="en-GB"/>
        </w:rPr>
        <w:t>acea</w:t>
      </w:r>
      <w:proofErr w:type="spellEnd"/>
      <w:r w:rsidRPr="004838D3">
        <w:rPr>
          <w:lang w:val="en-GB"/>
        </w:rPr>
        <w:t>, 2025b</w:t>
      </w:r>
    </w:p>
  </w:footnote>
  <w:footnote w:id="32">
    <w:p w14:paraId="5DE71847" w14:textId="77777777" w:rsidR="00CE5294" w:rsidRPr="00607655" w:rsidRDefault="00CE5294" w:rsidP="00CE5294">
      <w:pPr>
        <w:pStyle w:val="Funotentext"/>
        <w:rPr>
          <w:lang w:val="en-GB"/>
        </w:rPr>
      </w:pPr>
      <w:r>
        <w:rPr>
          <w:rStyle w:val="Funotenzeichen"/>
        </w:rPr>
        <w:footnoteRef/>
      </w:r>
      <w:r w:rsidRPr="00607655">
        <w:rPr>
          <w:lang w:val="en-GB"/>
        </w:rPr>
        <w:t xml:space="preserve"> </w:t>
      </w:r>
      <w:proofErr w:type="spellStart"/>
      <w:r w:rsidRPr="00607655">
        <w:rPr>
          <w:lang w:val="en-GB"/>
        </w:rPr>
        <w:t>acea</w:t>
      </w:r>
      <w:proofErr w:type="spellEnd"/>
      <w:r w:rsidRPr="00607655">
        <w:rPr>
          <w:lang w:val="en-GB"/>
        </w:rPr>
        <w:t>, 2025b</w:t>
      </w:r>
    </w:p>
  </w:footnote>
  <w:footnote w:id="33">
    <w:p w14:paraId="059B3CFB" w14:textId="77777777" w:rsidR="00CE5294" w:rsidRPr="00607655" w:rsidRDefault="00CE5294" w:rsidP="00CE5294">
      <w:pPr>
        <w:pStyle w:val="Funotentext"/>
        <w:rPr>
          <w:lang w:val="en-GB"/>
        </w:rPr>
      </w:pPr>
      <w:r>
        <w:rPr>
          <w:rStyle w:val="Funotenzeichen"/>
        </w:rPr>
        <w:footnoteRef/>
      </w:r>
      <w:r w:rsidRPr="00607655">
        <w:rPr>
          <w:lang w:val="en-GB"/>
        </w:rPr>
        <w:t xml:space="preserve"> VDA, 2025c</w:t>
      </w:r>
    </w:p>
  </w:footnote>
  <w:footnote w:id="34">
    <w:p w14:paraId="2F7F23DB" w14:textId="77777777" w:rsidR="00CE5294" w:rsidRPr="00FB7E4B" w:rsidRDefault="00CE5294" w:rsidP="00CE5294">
      <w:pPr>
        <w:pStyle w:val="Funotentext"/>
        <w:rPr>
          <w:lang w:val="it-IT"/>
        </w:rPr>
      </w:pPr>
      <w:r>
        <w:rPr>
          <w:rStyle w:val="Funotenzeichen"/>
        </w:rPr>
        <w:footnoteRef/>
      </w:r>
      <w:r w:rsidRPr="00FB7E4B">
        <w:rPr>
          <w:lang w:val="it-IT"/>
        </w:rPr>
        <w:t xml:space="preserve"> VDA, 2025c</w:t>
      </w:r>
    </w:p>
  </w:footnote>
  <w:footnote w:id="35">
    <w:p w14:paraId="3B8F44A7" w14:textId="77777777" w:rsidR="00CE5294" w:rsidRPr="00FB7E4B" w:rsidRDefault="00CE5294" w:rsidP="00CE5294">
      <w:pPr>
        <w:pStyle w:val="Funotentext"/>
        <w:rPr>
          <w:lang w:val="it-IT"/>
        </w:rPr>
      </w:pPr>
      <w:r>
        <w:rPr>
          <w:rStyle w:val="Funotenzeichen"/>
        </w:rPr>
        <w:footnoteRef/>
      </w:r>
      <w:r w:rsidRPr="00FB7E4B">
        <w:rPr>
          <w:lang w:val="it-IT"/>
        </w:rPr>
        <w:t xml:space="preserve"> VDMA, 2025</w:t>
      </w:r>
    </w:p>
  </w:footnote>
  <w:footnote w:id="36">
    <w:p w14:paraId="02498813" w14:textId="77777777" w:rsidR="00CE5294" w:rsidRPr="00FB7E4B" w:rsidRDefault="00CE5294" w:rsidP="00CE5294">
      <w:pPr>
        <w:pStyle w:val="Funotentext"/>
        <w:rPr>
          <w:lang w:val="it-IT"/>
        </w:rPr>
      </w:pPr>
      <w:r>
        <w:rPr>
          <w:rStyle w:val="Funotenzeichen"/>
        </w:rPr>
        <w:footnoteRef/>
      </w:r>
      <w:r w:rsidRPr="00FB7E4B">
        <w:rPr>
          <w:lang w:val="it-IT"/>
        </w:rPr>
        <w:t xml:space="preserve"> VDMA, 2025</w:t>
      </w:r>
    </w:p>
  </w:footnote>
  <w:footnote w:id="37">
    <w:p w14:paraId="59F5E65E" w14:textId="77777777" w:rsidR="00CE5294" w:rsidRPr="00FB7E4B" w:rsidRDefault="00CE5294" w:rsidP="00CE5294">
      <w:pPr>
        <w:pStyle w:val="Funotentext"/>
        <w:rPr>
          <w:lang w:val="it-IT"/>
        </w:rPr>
      </w:pPr>
      <w:r>
        <w:rPr>
          <w:rStyle w:val="Funotenzeichen"/>
        </w:rPr>
        <w:footnoteRef/>
      </w:r>
      <w:r w:rsidRPr="00FB7E4B">
        <w:rPr>
          <w:lang w:val="it-IT"/>
        </w:rPr>
        <w:t xml:space="preserve"> PWC, 2024a</w:t>
      </w:r>
    </w:p>
  </w:footnote>
  <w:footnote w:id="38">
    <w:p w14:paraId="0EE66F21" w14:textId="77777777" w:rsidR="00CE5294" w:rsidRPr="00954CB1" w:rsidRDefault="00CE5294" w:rsidP="00CE5294">
      <w:pPr>
        <w:pStyle w:val="Funotentext"/>
        <w:rPr>
          <w:lang w:val="fr-FR"/>
        </w:rPr>
      </w:pPr>
      <w:r>
        <w:rPr>
          <w:rStyle w:val="Funotenzeichen"/>
        </w:rPr>
        <w:footnoteRef/>
      </w:r>
      <w:r w:rsidRPr="00954CB1">
        <w:rPr>
          <w:lang w:val="fr-FR"/>
        </w:rPr>
        <w:t xml:space="preserve"> VDMA, 2024</w:t>
      </w:r>
    </w:p>
  </w:footnote>
  <w:footnote w:id="39">
    <w:p w14:paraId="3941FA43" w14:textId="1199298A" w:rsidR="00CE5294" w:rsidRPr="00B93A09" w:rsidRDefault="00CE5294" w:rsidP="00CE5294">
      <w:pPr>
        <w:pStyle w:val="Funotentext"/>
        <w:rPr>
          <w:lang w:val="fr-FR"/>
        </w:rPr>
      </w:pPr>
      <w:r>
        <w:rPr>
          <w:rStyle w:val="Funotenzeichen"/>
        </w:rPr>
        <w:footnoteRef/>
      </w:r>
      <w:r w:rsidRPr="00B93A09">
        <w:rPr>
          <w:lang w:val="fr-FR"/>
        </w:rPr>
        <w:t xml:space="preserve"> </w:t>
      </w:r>
      <w:proofErr w:type="spellStart"/>
      <w:r w:rsidRPr="00B93A09">
        <w:rPr>
          <w:lang w:val="fr-FR"/>
        </w:rPr>
        <w:t>Destatis</w:t>
      </w:r>
      <w:proofErr w:type="spellEnd"/>
      <w:r w:rsidRPr="00B93A09">
        <w:rPr>
          <w:lang w:val="fr-FR"/>
        </w:rPr>
        <w:t>, 2025</w:t>
      </w:r>
      <w:r w:rsidR="00FE4A6F" w:rsidRPr="00B93A09">
        <w:rPr>
          <w:lang w:val="fr-FR"/>
        </w:rPr>
        <w:t>c</w:t>
      </w:r>
    </w:p>
  </w:footnote>
  <w:footnote w:id="40">
    <w:p w14:paraId="332ABBCD" w14:textId="2A36F431" w:rsidR="00CE5294" w:rsidRPr="00B93A09" w:rsidRDefault="00CE5294" w:rsidP="00CE5294">
      <w:pPr>
        <w:pStyle w:val="Funotentext"/>
        <w:rPr>
          <w:lang w:val="fr-FR"/>
        </w:rPr>
      </w:pPr>
      <w:r>
        <w:rPr>
          <w:rStyle w:val="Funotenzeichen"/>
        </w:rPr>
        <w:footnoteRef/>
      </w:r>
      <w:r w:rsidRPr="00B93A09">
        <w:rPr>
          <w:lang w:val="fr-FR"/>
        </w:rPr>
        <w:t xml:space="preserve"> </w:t>
      </w:r>
      <w:proofErr w:type="spellStart"/>
      <w:r w:rsidRPr="00B93A09">
        <w:rPr>
          <w:lang w:val="fr-FR"/>
        </w:rPr>
        <w:t>Destatis</w:t>
      </w:r>
      <w:proofErr w:type="spellEnd"/>
      <w:r w:rsidRPr="00B93A09">
        <w:rPr>
          <w:lang w:val="fr-FR"/>
        </w:rPr>
        <w:t>, 2025</w:t>
      </w:r>
      <w:r w:rsidR="00B93A09" w:rsidRPr="00B93A09">
        <w:rPr>
          <w:lang w:val="fr-FR"/>
        </w:rPr>
        <w:t>d</w:t>
      </w:r>
    </w:p>
  </w:footnote>
  <w:footnote w:id="41">
    <w:p w14:paraId="029D614C" w14:textId="0B0D54C6" w:rsidR="00CE5294" w:rsidRPr="00954CB1" w:rsidRDefault="00CE5294" w:rsidP="00CE5294">
      <w:pPr>
        <w:pStyle w:val="Funotentext"/>
        <w:rPr>
          <w:lang w:val="fr-FR"/>
        </w:rPr>
      </w:pPr>
      <w:r>
        <w:rPr>
          <w:rStyle w:val="Funotenzeichen"/>
        </w:rPr>
        <w:footnoteRef/>
      </w:r>
      <w:r w:rsidRPr="00954CB1">
        <w:rPr>
          <w:lang w:val="fr-FR"/>
        </w:rPr>
        <w:t xml:space="preserve"> </w:t>
      </w:r>
      <w:proofErr w:type="spellStart"/>
      <w:r w:rsidRPr="00954CB1">
        <w:rPr>
          <w:lang w:val="fr-FR"/>
        </w:rPr>
        <w:t>Destatis</w:t>
      </w:r>
      <w:proofErr w:type="spellEnd"/>
      <w:r w:rsidRPr="00954CB1">
        <w:rPr>
          <w:lang w:val="fr-FR"/>
        </w:rPr>
        <w:t>, 2025</w:t>
      </w:r>
      <w:r w:rsidR="004739D0" w:rsidRPr="00954CB1">
        <w:rPr>
          <w:lang w:val="fr-FR"/>
        </w:rPr>
        <w:t>e</w:t>
      </w:r>
    </w:p>
  </w:footnote>
  <w:footnote w:id="42">
    <w:p w14:paraId="6AAA41CD" w14:textId="74ED74C0" w:rsidR="00CE5294" w:rsidRPr="00954CB1" w:rsidRDefault="00CE5294" w:rsidP="00CE5294">
      <w:pPr>
        <w:pStyle w:val="Funotentext"/>
        <w:rPr>
          <w:lang w:val="fr-FR"/>
        </w:rPr>
      </w:pPr>
      <w:r>
        <w:rPr>
          <w:rStyle w:val="Funotenzeichen"/>
        </w:rPr>
        <w:footnoteRef/>
      </w:r>
      <w:r w:rsidRPr="00954CB1">
        <w:rPr>
          <w:lang w:val="fr-FR"/>
        </w:rPr>
        <w:t xml:space="preserve"> </w:t>
      </w:r>
      <w:proofErr w:type="spellStart"/>
      <w:r w:rsidRPr="00954CB1">
        <w:rPr>
          <w:lang w:val="fr-FR"/>
        </w:rPr>
        <w:t>Destatis</w:t>
      </w:r>
      <w:proofErr w:type="spellEnd"/>
      <w:r w:rsidRPr="00954CB1">
        <w:rPr>
          <w:lang w:val="fr-FR"/>
        </w:rPr>
        <w:t>, 2025</w:t>
      </w:r>
      <w:r w:rsidR="004739D0" w:rsidRPr="00954CB1">
        <w:rPr>
          <w:lang w:val="fr-FR"/>
        </w:rPr>
        <w:t>f</w:t>
      </w:r>
    </w:p>
  </w:footnote>
  <w:footnote w:id="43">
    <w:p w14:paraId="20AB4EE1" w14:textId="554B6BD7" w:rsidR="00CE5294" w:rsidRPr="00954CB1" w:rsidRDefault="00CE5294" w:rsidP="00CE5294">
      <w:pPr>
        <w:pStyle w:val="Funotentext"/>
        <w:rPr>
          <w:lang w:val="fr-FR"/>
        </w:rPr>
      </w:pPr>
      <w:r>
        <w:rPr>
          <w:rStyle w:val="Funotenzeichen"/>
        </w:rPr>
        <w:footnoteRef/>
      </w:r>
      <w:r w:rsidRPr="00954CB1">
        <w:rPr>
          <w:lang w:val="fr-FR"/>
        </w:rPr>
        <w:t xml:space="preserve"> </w:t>
      </w:r>
      <w:proofErr w:type="spellStart"/>
      <w:r w:rsidRPr="00954CB1">
        <w:rPr>
          <w:lang w:val="fr-FR"/>
        </w:rPr>
        <w:t>Destatis</w:t>
      </w:r>
      <w:proofErr w:type="spellEnd"/>
      <w:r w:rsidRPr="00954CB1">
        <w:rPr>
          <w:lang w:val="fr-FR"/>
        </w:rPr>
        <w:t>, 2025</w:t>
      </w:r>
      <w:r w:rsidR="004739D0" w:rsidRPr="00954CB1">
        <w:rPr>
          <w:lang w:val="fr-FR"/>
        </w:rPr>
        <w:t>f</w:t>
      </w:r>
    </w:p>
  </w:footnote>
  <w:footnote w:id="44">
    <w:p w14:paraId="66FDC33C" w14:textId="24D97645" w:rsidR="00CE5294" w:rsidRPr="0083640C" w:rsidRDefault="00CE5294" w:rsidP="00CE5294">
      <w:pPr>
        <w:pStyle w:val="Funotentext"/>
      </w:pPr>
      <w:r>
        <w:rPr>
          <w:rStyle w:val="Funotenzeichen"/>
        </w:rPr>
        <w:footnoteRef/>
      </w:r>
      <w:r w:rsidRPr="0083640C">
        <w:t xml:space="preserve"> Destatis, 2025</w:t>
      </w:r>
      <w:r w:rsidR="004739D0">
        <w:t>e</w:t>
      </w:r>
    </w:p>
  </w:footnote>
  <w:footnote w:id="45">
    <w:p w14:paraId="3037C929" w14:textId="29BE4840" w:rsidR="00CE5294" w:rsidRDefault="00CE5294" w:rsidP="00CE5294">
      <w:pPr>
        <w:pStyle w:val="Funotentext"/>
      </w:pPr>
      <w:r>
        <w:rPr>
          <w:rStyle w:val="Funotenzeichen"/>
        </w:rPr>
        <w:footnoteRef/>
      </w:r>
      <w:r>
        <w:t xml:space="preserve"> Bundesagentur für Arbeit, 2025</w:t>
      </w:r>
      <w:r w:rsidR="00895220">
        <w:t>b</w:t>
      </w:r>
    </w:p>
  </w:footnote>
  <w:footnote w:id="46">
    <w:p w14:paraId="672D071A" w14:textId="77777777" w:rsidR="00CE5294" w:rsidRPr="00A86F3B" w:rsidRDefault="00CE5294" w:rsidP="00CE5294">
      <w:pPr>
        <w:pStyle w:val="Funotentext"/>
      </w:pPr>
      <w:r>
        <w:rPr>
          <w:rStyle w:val="Funotenzeichen"/>
        </w:rPr>
        <w:footnoteRef/>
      </w:r>
      <w:r w:rsidRPr="00A86F3B">
        <w:t xml:space="preserve"> WSM, 2025</w:t>
      </w:r>
    </w:p>
  </w:footnote>
  <w:footnote w:id="47">
    <w:p w14:paraId="07C090CC" w14:textId="7D5A147C" w:rsidR="00381DE6" w:rsidRDefault="00381DE6">
      <w:pPr>
        <w:pStyle w:val="Funotentext"/>
      </w:pPr>
      <w:r>
        <w:rPr>
          <w:rStyle w:val="Funotenzeichen"/>
        </w:rPr>
        <w:footnoteRef/>
      </w:r>
      <w:r>
        <w:t xml:space="preserve"> </w:t>
      </w:r>
      <w:r w:rsidRPr="00A86F3B">
        <w:t>Destatis, 2025</w:t>
      </w:r>
      <w:r>
        <w:t>g</w:t>
      </w:r>
    </w:p>
  </w:footnote>
  <w:footnote w:id="48">
    <w:p w14:paraId="4571900D" w14:textId="77777777" w:rsidR="0026128D" w:rsidRPr="00A86F3B" w:rsidRDefault="0026128D" w:rsidP="0026128D">
      <w:pPr>
        <w:pStyle w:val="Funotentext"/>
      </w:pPr>
      <w:r>
        <w:rPr>
          <w:rStyle w:val="Funotenzeichen"/>
        </w:rPr>
        <w:footnoteRef/>
      </w:r>
      <w:r w:rsidRPr="00A86F3B">
        <w:t xml:space="preserve"> Destatis, 2025</w:t>
      </w:r>
      <w:r>
        <w:t>g</w:t>
      </w:r>
    </w:p>
  </w:footnote>
  <w:footnote w:id="49">
    <w:p w14:paraId="4BD12848" w14:textId="77777777" w:rsidR="00CE5294" w:rsidRPr="00A86F3B" w:rsidRDefault="00CE5294" w:rsidP="00CE5294">
      <w:pPr>
        <w:pStyle w:val="Funotentext"/>
      </w:pPr>
      <w:r>
        <w:rPr>
          <w:rStyle w:val="Funotenzeichen"/>
        </w:rPr>
        <w:footnoteRef/>
      </w:r>
      <w:r w:rsidRPr="00A86F3B">
        <w:t xml:space="preserve"> ifo </w:t>
      </w:r>
      <w:proofErr w:type="spellStart"/>
      <w:r w:rsidRPr="00A86F3B">
        <w:t>Insititut</w:t>
      </w:r>
      <w:proofErr w:type="spellEnd"/>
      <w:r w:rsidRPr="00A86F3B">
        <w:t xml:space="preserve">, 2024 </w:t>
      </w:r>
    </w:p>
  </w:footnote>
  <w:footnote w:id="50">
    <w:p w14:paraId="32032E3F" w14:textId="77777777" w:rsidR="00CE5294" w:rsidRDefault="00CE5294" w:rsidP="00CE5294">
      <w:pPr>
        <w:pStyle w:val="Funotentext"/>
      </w:pPr>
      <w:r>
        <w:rPr>
          <w:rStyle w:val="Funotenzeichen"/>
        </w:rPr>
        <w:footnoteRef/>
      </w:r>
      <w:r>
        <w:t xml:space="preserve"> ifo </w:t>
      </w:r>
      <w:proofErr w:type="spellStart"/>
      <w:r>
        <w:t>Insititut</w:t>
      </w:r>
      <w:proofErr w:type="spellEnd"/>
      <w:r>
        <w:t xml:space="preserve">, 2024 </w:t>
      </w:r>
    </w:p>
  </w:footnote>
  <w:footnote w:id="51">
    <w:p w14:paraId="3F11E36E" w14:textId="77777777" w:rsidR="00CE5294" w:rsidRDefault="00CE5294" w:rsidP="00CE5294">
      <w:pPr>
        <w:pStyle w:val="Funotentext"/>
      </w:pPr>
      <w:r>
        <w:rPr>
          <w:rStyle w:val="Funotenzeichen"/>
        </w:rPr>
        <w:footnoteRef/>
      </w:r>
      <w:r>
        <w:t xml:space="preserve"> IMU, 2024</w:t>
      </w:r>
    </w:p>
  </w:footnote>
  <w:footnote w:id="52">
    <w:p w14:paraId="2C4EC3CF" w14:textId="77777777" w:rsidR="00CE5294" w:rsidRDefault="00CE5294" w:rsidP="00CE5294">
      <w:pPr>
        <w:pStyle w:val="Funotentext"/>
      </w:pPr>
      <w:r>
        <w:rPr>
          <w:rStyle w:val="Funotenzeichen"/>
        </w:rPr>
        <w:footnoteRef/>
      </w:r>
      <w:r>
        <w:t xml:space="preserve"> ifo </w:t>
      </w:r>
      <w:proofErr w:type="spellStart"/>
      <w:r>
        <w:t>Insititut</w:t>
      </w:r>
      <w:proofErr w:type="spellEnd"/>
      <w:r>
        <w:t>, 2024</w:t>
      </w:r>
    </w:p>
  </w:footnote>
  <w:footnote w:id="53">
    <w:p w14:paraId="64BAB5A9" w14:textId="77777777" w:rsidR="00CE5294" w:rsidRDefault="00CE5294" w:rsidP="00CE5294">
      <w:pPr>
        <w:pStyle w:val="Funotentext"/>
      </w:pPr>
      <w:r>
        <w:rPr>
          <w:rStyle w:val="Funotenzeichen"/>
        </w:rPr>
        <w:footnoteRef/>
      </w:r>
      <w:r>
        <w:t xml:space="preserve"> IMU, 2024</w:t>
      </w:r>
    </w:p>
  </w:footnote>
  <w:footnote w:id="54">
    <w:p w14:paraId="69D80FF3" w14:textId="77777777" w:rsidR="00CE5294" w:rsidRPr="00A86F3B" w:rsidRDefault="00CE5294" w:rsidP="00CE5294">
      <w:pPr>
        <w:pStyle w:val="Funotentext"/>
      </w:pPr>
      <w:r>
        <w:rPr>
          <w:rStyle w:val="Funotenzeichen"/>
        </w:rPr>
        <w:footnoteRef/>
      </w:r>
      <w:r w:rsidRPr="00A86F3B">
        <w:t xml:space="preserve"> IMU, 2024</w:t>
      </w:r>
    </w:p>
  </w:footnote>
  <w:footnote w:id="55">
    <w:p w14:paraId="20E8CB46" w14:textId="7DB14947" w:rsidR="00CE5294" w:rsidRPr="00A86F3B" w:rsidRDefault="00CE5294" w:rsidP="00CE5294">
      <w:pPr>
        <w:pStyle w:val="Funotentext"/>
      </w:pPr>
      <w:r>
        <w:rPr>
          <w:rStyle w:val="Funotenzeichen"/>
        </w:rPr>
        <w:footnoteRef/>
      </w:r>
      <w:r w:rsidRPr="00A86F3B">
        <w:t xml:space="preserve"> Destatis, 2025</w:t>
      </w:r>
      <w:r w:rsidR="00A23027">
        <w:t>h</w:t>
      </w:r>
    </w:p>
  </w:footnote>
  <w:footnote w:id="56">
    <w:p w14:paraId="02C0D4FE" w14:textId="2056DCA8" w:rsidR="00CE5294" w:rsidRPr="00B96EEC" w:rsidRDefault="00CE5294" w:rsidP="00CE5294">
      <w:pPr>
        <w:pStyle w:val="Funotentext"/>
        <w:rPr>
          <w:lang w:val="en-GB"/>
        </w:rPr>
      </w:pPr>
      <w:r>
        <w:rPr>
          <w:rStyle w:val="Funotenzeichen"/>
        </w:rPr>
        <w:footnoteRef/>
      </w:r>
      <w:r w:rsidRPr="00B96EEC">
        <w:rPr>
          <w:lang w:val="en-GB"/>
        </w:rPr>
        <w:t xml:space="preserve"> IMF, 2025</w:t>
      </w:r>
      <w:r w:rsidR="00EF0F30" w:rsidRPr="00B96EEC">
        <w:rPr>
          <w:lang w:val="en-GB"/>
        </w:rPr>
        <w:t>a</w:t>
      </w:r>
    </w:p>
  </w:footnote>
  <w:footnote w:id="57">
    <w:p w14:paraId="3AB7C8F3" w14:textId="3F5BED7A" w:rsidR="00CE5294" w:rsidRPr="00B96EEC" w:rsidRDefault="00CE5294" w:rsidP="00CE5294">
      <w:pPr>
        <w:pStyle w:val="Funotentext"/>
        <w:rPr>
          <w:lang w:val="en-GB"/>
        </w:rPr>
      </w:pPr>
      <w:r>
        <w:rPr>
          <w:rStyle w:val="Funotenzeichen"/>
        </w:rPr>
        <w:footnoteRef/>
      </w:r>
      <w:r w:rsidRPr="00B96EEC">
        <w:rPr>
          <w:lang w:val="en-GB"/>
        </w:rPr>
        <w:t xml:space="preserve"> IMF, 2025</w:t>
      </w:r>
      <w:r w:rsidR="00EF0F30" w:rsidRPr="00B96EEC">
        <w:rPr>
          <w:lang w:val="en-GB"/>
        </w:rPr>
        <w:t>a</w:t>
      </w:r>
    </w:p>
  </w:footnote>
  <w:footnote w:id="58">
    <w:p w14:paraId="6A1FFFF3" w14:textId="7FB00FB0" w:rsidR="00EF0F30" w:rsidRPr="00B96EEC" w:rsidRDefault="00EF0F30">
      <w:pPr>
        <w:pStyle w:val="Funotentext"/>
        <w:rPr>
          <w:lang w:val="en-GB"/>
        </w:rPr>
      </w:pPr>
      <w:r>
        <w:rPr>
          <w:rStyle w:val="Funotenzeichen"/>
        </w:rPr>
        <w:footnoteRef/>
      </w:r>
      <w:r w:rsidRPr="00B96EEC">
        <w:rPr>
          <w:lang w:val="en-GB"/>
        </w:rPr>
        <w:t xml:space="preserve"> Handelsblatt, 2025</w:t>
      </w:r>
    </w:p>
  </w:footnote>
  <w:footnote w:id="59">
    <w:p w14:paraId="37A4E05B" w14:textId="44B22FFF" w:rsidR="00CE5294" w:rsidRPr="00B96EEC" w:rsidRDefault="00CE5294" w:rsidP="00CE5294">
      <w:pPr>
        <w:pStyle w:val="Funotentext"/>
        <w:rPr>
          <w:lang w:val="en-GB"/>
        </w:rPr>
      </w:pPr>
      <w:r>
        <w:rPr>
          <w:rStyle w:val="Funotenzeichen"/>
        </w:rPr>
        <w:footnoteRef/>
      </w:r>
      <w:r w:rsidRPr="00B96EEC">
        <w:rPr>
          <w:lang w:val="en-GB"/>
        </w:rPr>
        <w:t xml:space="preserve"> IMF, 2025</w:t>
      </w:r>
      <w:r w:rsidR="00EF0F30" w:rsidRPr="00B96EEC">
        <w:rPr>
          <w:lang w:val="en-GB"/>
        </w:rPr>
        <w:t>a</w:t>
      </w:r>
    </w:p>
  </w:footnote>
  <w:footnote w:id="60">
    <w:p w14:paraId="4B3FD7E1" w14:textId="02E818D7" w:rsidR="00CE5294" w:rsidRPr="00B96EEC" w:rsidRDefault="00CE5294" w:rsidP="00CE5294">
      <w:pPr>
        <w:pStyle w:val="Funotentext"/>
        <w:rPr>
          <w:lang w:val="en-GB"/>
        </w:rPr>
      </w:pPr>
      <w:r>
        <w:rPr>
          <w:rStyle w:val="Funotenzeichen"/>
        </w:rPr>
        <w:footnoteRef/>
      </w:r>
      <w:r w:rsidRPr="00B96EEC">
        <w:rPr>
          <w:lang w:val="en-GB"/>
        </w:rPr>
        <w:t xml:space="preserve"> IMF, 2025</w:t>
      </w:r>
      <w:r w:rsidR="00EF0F30" w:rsidRPr="00B96EEC">
        <w:rPr>
          <w:lang w:val="en-GB"/>
        </w:rPr>
        <w:t>a</w:t>
      </w:r>
    </w:p>
  </w:footnote>
  <w:footnote w:id="61">
    <w:p w14:paraId="6B499DE4" w14:textId="1D0DA35C" w:rsidR="00CE5294" w:rsidRPr="00B96EEC" w:rsidRDefault="00CE5294" w:rsidP="00CE5294">
      <w:pPr>
        <w:pStyle w:val="Funotentext"/>
        <w:rPr>
          <w:lang w:val="en-GB"/>
        </w:rPr>
      </w:pPr>
      <w:r>
        <w:rPr>
          <w:rStyle w:val="Funotenzeichen"/>
        </w:rPr>
        <w:footnoteRef/>
      </w:r>
      <w:r w:rsidRPr="00B96EEC">
        <w:rPr>
          <w:lang w:val="en-GB"/>
        </w:rPr>
        <w:t xml:space="preserve"> IMF, 2025</w:t>
      </w:r>
      <w:r w:rsidR="00EF0F30" w:rsidRPr="00B96EEC">
        <w:rPr>
          <w:lang w:val="en-GB"/>
        </w:rPr>
        <w:t>a</w:t>
      </w:r>
    </w:p>
  </w:footnote>
  <w:footnote w:id="62">
    <w:p w14:paraId="023B14CA" w14:textId="77777777" w:rsidR="00CE5294" w:rsidRPr="00B96EEC" w:rsidRDefault="00CE5294" w:rsidP="00CE5294">
      <w:pPr>
        <w:pStyle w:val="Funotentext"/>
        <w:rPr>
          <w:lang w:val="en-GB"/>
        </w:rPr>
      </w:pPr>
      <w:r>
        <w:rPr>
          <w:rStyle w:val="Funotenzeichen"/>
        </w:rPr>
        <w:footnoteRef/>
      </w:r>
      <w:r w:rsidRPr="00B96EEC">
        <w:rPr>
          <w:lang w:val="en-GB"/>
        </w:rPr>
        <w:t xml:space="preserve"> BMWK, 2025</w:t>
      </w:r>
    </w:p>
  </w:footnote>
  <w:footnote w:id="63">
    <w:p w14:paraId="2F993EA8" w14:textId="77777777" w:rsidR="00CE5294" w:rsidRPr="00B96EEC" w:rsidRDefault="00CE5294" w:rsidP="00CE5294">
      <w:pPr>
        <w:pStyle w:val="Funotentext"/>
        <w:rPr>
          <w:lang w:val="en-GB"/>
        </w:rPr>
      </w:pPr>
      <w:r>
        <w:rPr>
          <w:rStyle w:val="Funotenzeichen"/>
        </w:rPr>
        <w:footnoteRef/>
      </w:r>
      <w:r w:rsidRPr="00B96EEC">
        <w:rPr>
          <w:lang w:val="en-GB"/>
        </w:rPr>
        <w:t xml:space="preserve"> BMWK, 2025</w:t>
      </w:r>
    </w:p>
  </w:footnote>
  <w:footnote w:id="64">
    <w:p w14:paraId="2505927F" w14:textId="77777777" w:rsidR="00CE5294" w:rsidRDefault="00CE5294" w:rsidP="00CE5294">
      <w:pPr>
        <w:pStyle w:val="Funotentext"/>
      </w:pPr>
      <w:r>
        <w:rPr>
          <w:rStyle w:val="Funotenzeichen"/>
        </w:rPr>
        <w:footnoteRef/>
      </w:r>
      <w:r>
        <w:t xml:space="preserve"> IW Köln, 2024</w:t>
      </w:r>
    </w:p>
  </w:footnote>
  <w:footnote w:id="65">
    <w:p w14:paraId="61D1C5FC" w14:textId="77777777" w:rsidR="00CE5294" w:rsidRDefault="00CE5294" w:rsidP="00CE5294">
      <w:pPr>
        <w:pStyle w:val="Funotentext"/>
      </w:pPr>
      <w:r>
        <w:rPr>
          <w:rStyle w:val="Funotenzeichen"/>
        </w:rPr>
        <w:footnoteRef/>
      </w:r>
      <w:r>
        <w:t xml:space="preserve"> IW Köln, 2024</w:t>
      </w:r>
    </w:p>
  </w:footnote>
  <w:footnote w:id="66">
    <w:p w14:paraId="47A5490F" w14:textId="77777777" w:rsidR="00CE5294" w:rsidRPr="00B96EEC" w:rsidRDefault="00CE5294" w:rsidP="00CE5294">
      <w:pPr>
        <w:pStyle w:val="Funotentext"/>
      </w:pPr>
      <w:r>
        <w:rPr>
          <w:rStyle w:val="Funotenzeichen"/>
        </w:rPr>
        <w:footnoteRef/>
      </w:r>
      <w:r w:rsidRPr="00B96EEC">
        <w:t xml:space="preserve"> Statista, 2025</w:t>
      </w:r>
    </w:p>
  </w:footnote>
  <w:footnote w:id="67">
    <w:p w14:paraId="2AF0AF99" w14:textId="77777777" w:rsidR="00CE5294" w:rsidRPr="00B96EEC" w:rsidRDefault="00CE5294" w:rsidP="00CE5294">
      <w:pPr>
        <w:pStyle w:val="Funotentext"/>
      </w:pPr>
      <w:r>
        <w:rPr>
          <w:rStyle w:val="Funotenzeichen"/>
        </w:rPr>
        <w:footnoteRef/>
      </w:r>
      <w:r w:rsidRPr="00B96EEC">
        <w:t xml:space="preserve"> ifo Institut, 2025</w:t>
      </w:r>
    </w:p>
  </w:footnote>
  <w:footnote w:id="68">
    <w:p w14:paraId="6E8D50AE" w14:textId="77777777" w:rsidR="00CE5294" w:rsidRPr="00B96EEC" w:rsidRDefault="00CE5294" w:rsidP="00CE5294">
      <w:pPr>
        <w:pStyle w:val="Funotentext"/>
      </w:pPr>
      <w:r>
        <w:rPr>
          <w:rStyle w:val="Funotenzeichen"/>
        </w:rPr>
        <w:footnoteRef/>
      </w:r>
      <w:r w:rsidRPr="00B96EEC">
        <w:t xml:space="preserve"> VDA, 2025d</w:t>
      </w:r>
    </w:p>
  </w:footnote>
  <w:footnote w:id="69">
    <w:p w14:paraId="3E5D03B8" w14:textId="77777777" w:rsidR="00CE5294" w:rsidRPr="00B96EEC" w:rsidRDefault="00CE5294" w:rsidP="00CE5294">
      <w:pPr>
        <w:pStyle w:val="Funotentext"/>
      </w:pPr>
      <w:r>
        <w:rPr>
          <w:rStyle w:val="Funotenzeichen"/>
        </w:rPr>
        <w:footnoteRef/>
      </w:r>
      <w:r w:rsidRPr="00B96EEC">
        <w:t xml:space="preserve"> VDA, 2025d</w:t>
      </w:r>
    </w:p>
  </w:footnote>
  <w:footnote w:id="70">
    <w:p w14:paraId="116481E3" w14:textId="77777777" w:rsidR="00CE5294" w:rsidRPr="00B96EEC" w:rsidRDefault="00CE5294" w:rsidP="00CE5294">
      <w:pPr>
        <w:pStyle w:val="Funotentext"/>
      </w:pPr>
      <w:r>
        <w:rPr>
          <w:rStyle w:val="Funotenzeichen"/>
        </w:rPr>
        <w:footnoteRef/>
      </w:r>
      <w:r w:rsidRPr="00B96EEC">
        <w:t xml:space="preserve"> VDA, 2025d</w:t>
      </w:r>
    </w:p>
  </w:footnote>
  <w:footnote w:id="71">
    <w:p w14:paraId="57D7A559" w14:textId="77777777" w:rsidR="00CE5294" w:rsidRPr="00954CB1" w:rsidRDefault="00CE5294" w:rsidP="00CE5294">
      <w:pPr>
        <w:pStyle w:val="Funotentext"/>
        <w:rPr>
          <w:lang w:val="it-IT"/>
        </w:rPr>
      </w:pPr>
      <w:r>
        <w:rPr>
          <w:rStyle w:val="Funotenzeichen"/>
        </w:rPr>
        <w:footnoteRef/>
      </w:r>
      <w:r w:rsidRPr="00954CB1">
        <w:rPr>
          <w:lang w:val="it-IT"/>
        </w:rPr>
        <w:t xml:space="preserve"> VDA, 2025d</w:t>
      </w:r>
    </w:p>
  </w:footnote>
  <w:footnote w:id="72">
    <w:p w14:paraId="06EF36E7" w14:textId="77777777" w:rsidR="00CE5294" w:rsidRPr="00954CB1" w:rsidRDefault="00CE5294" w:rsidP="00CE5294">
      <w:pPr>
        <w:pStyle w:val="Funotentext"/>
        <w:rPr>
          <w:lang w:val="it-IT"/>
        </w:rPr>
      </w:pPr>
      <w:r>
        <w:rPr>
          <w:rStyle w:val="Funotenzeichen"/>
        </w:rPr>
        <w:footnoteRef/>
      </w:r>
      <w:r w:rsidRPr="00954CB1">
        <w:rPr>
          <w:lang w:val="it-IT"/>
        </w:rPr>
        <w:t xml:space="preserve"> VDA, 2025d</w:t>
      </w:r>
    </w:p>
  </w:footnote>
  <w:footnote w:id="73">
    <w:p w14:paraId="221A0127" w14:textId="77777777" w:rsidR="00CE5294" w:rsidRPr="00FB7E4B" w:rsidRDefault="00CE5294" w:rsidP="00CE5294">
      <w:pPr>
        <w:pStyle w:val="Funotentext"/>
        <w:rPr>
          <w:lang w:val="it-IT"/>
        </w:rPr>
      </w:pPr>
      <w:r>
        <w:rPr>
          <w:rStyle w:val="Funotenzeichen"/>
        </w:rPr>
        <w:footnoteRef/>
      </w:r>
      <w:r w:rsidRPr="00FB7E4B">
        <w:rPr>
          <w:lang w:val="it-IT"/>
        </w:rPr>
        <w:t xml:space="preserve"> VDA, 2025d</w:t>
      </w:r>
    </w:p>
  </w:footnote>
  <w:footnote w:id="74">
    <w:p w14:paraId="5AAB08B6" w14:textId="77777777" w:rsidR="00CE5294" w:rsidRPr="00FB7E4B" w:rsidRDefault="00CE5294" w:rsidP="00CE5294">
      <w:pPr>
        <w:pStyle w:val="Funotentext"/>
        <w:rPr>
          <w:lang w:val="it-IT"/>
        </w:rPr>
      </w:pPr>
      <w:r>
        <w:rPr>
          <w:rStyle w:val="Funotenzeichen"/>
        </w:rPr>
        <w:footnoteRef/>
      </w:r>
      <w:r w:rsidRPr="00FB7E4B">
        <w:rPr>
          <w:lang w:val="it-IT"/>
        </w:rPr>
        <w:t xml:space="preserve"> VDA, 2025d</w:t>
      </w:r>
    </w:p>
  </w:footnote>
  <w:footnote w:id="75">
    <w:p w14:paraId="6E7A1C42" w14:textId="77777777" w:rsidR="00CE5294" w:rsidRPr="00FB7E4B" w:rsidRDefault="00CE5294" w:rsidP="00CE5294">
      <w:pPr>
        <w:pStyle w:val="Funotentext"/>
        <w:rPr>
          <w:lang w:val="it-IT"/>
        </w:rPr>
      </w:pPr>
      <w:r>
        <w:rPr>
          <w:rStyle w:val="Funotenzeichen"/>
        </w:rPr>
        <w:footnoteRef/>
      </w:r>
      <w:r w:rsidRPr="00FB7E4B">
        <w:rPr>
          <w:lang w:val="it-IT"/>
        </w:rPr>
        <w:t xml:space="preserve"> VDA, 2025d</w:t>
      </w:r>
    </w:p>
  </w:footnote>
  <w:footnote w:id="76">
    <w:p w14:paraId="5D9B10A1" w14:textId="77777777" w:rsidR="00CE5294" w:rsidRPr="00B96EEC" w:rsidRDefault="00CE5294" w:rsidP="00CE5294">
      <w:pPr>
        <w:pStyle w:val="Funotentext"/>
        <w:rPr>
          <w:lang w:val="it-IT"/>
        </w:rPr>
      </w:pPr>
      <w:r>
        <w:rPr>
          <w:rStyle w:val="Funotenzeichen"/>
        </w:rPr>
        <w:footnoteRef/>
      </w:r>
      <w:r w:rsidRPr="00B96EEC">
        <w:rPr>
          <w:lang w:val="it-IT"/>
        </w:rPr>
        <w:t xml:space="preserve"> PWC, 2024b</w:t>
      </w:r>
    </w:p>
  </w:footnote>
  <w:footnote w:id="77">
    <w:p w14:paraId="20D9C5AF" w14:textId="77777777" w:rsidR="00CE5294" w:rsidRDefault="00CE5294" w:rsidP="00CE5294">
      <w:pPr>
        <w:pStyle w:val="Funotentext"/>
      </w:pPr>
      <w:r>
        <w:rPr>
          <w:rStyle w:val="Funotenzeichen"/>
        </w:rPr>
        <w:footnoteRef/>
      </w:r>
      <w:r>
        <w:t xml:space="preserve"> VDMA, 2024</w:t>
      </w:r>
    </w:p>
  </w:footnote>
  <w:footnote w:id="78">
    <w:p w14:paraId="74E41A11" w14:textId="63F30B88" w:rsidR="00D307CB" w:rsidRDefault="00D307CB">
      <w:pPr>
        <w:pStyle w:val="Funotentext"/>
      </w:pPr>
      <w:r>
        <w:rPr>
          <w:rStyle w:val="Funotenzeichen"/>
        </w:rPr>
        <w:footnoteRef/>
      </w:r>
      <w:r>
        <w:t xml:space="preserve"> Neue Züricher Zeitung, 2025</w:t>
      </w:r>
    </w:p>
  </w:footnote>
  <w:footnote w:id="79">
    <w:p w14:paraId="06F85493" w14:textId="77777777" w:rsidR="00CE5294" w:rsidRDefault="00CE5294" w:rsidP="00CE5294">
      <w:pPr>
        <w:pStyle w:val="Funotentext"/>
      </w:pPr>
      <w:r>
        <w:rPr>
          <w:rStyle w:val="Funotenzeichen"/>
        </w:rPr>
        <w:footnoteRef/>
      </w:r>
      <w:r>
        <w:t xml:space="preserve"> Tagesschau, 2025a</w:t>
      </w:r>
    </w:p>
  </w:footnote>
  <w:footnote w:id="80">
    <w:p w14:paraId="7FD13330" w14:textId="77777777" w:rsidR="00CE5294" w:rsidRPr="00C0651F" w:rsidRDefault="00CE5294" w:rsidP="00CE5294">
      <w:pPr>
        <w:pStyle w:val="Funotentext"/>
      </w:pPr>
      <w:r>
        <w:rPr>
          <w:rStyle w:val="Funotenzeichen"/>
        </w:rPr>
        <w:footnoteRef/>
      </w:r>
      <w:r w:rsidRPr="00C0651F">
        <w:t xml:space="preserve"> VCI, 2025</w:t>
      </w:r>
    </w:p>
  </w:footnote>
  <w:footnote w:id="81">
    <w:p w14:paraId="17A5A396" w14:textId="77777777" w:rsidR="00CE5294" w:rsidRPr="00C0651F" w:rsidRDefault="00CE5294" w:rsidP="00CE5294">
      <w:pPr>
        <w:pStyle w:val="Funotentext"/>
      </w:pPr>
      <w:r>
        <w:rPr>
          <w:rStyle w:val="Funotenzeichen"/>
        </w:rPr>
        <w:footnoteRef/>
      </w:r>
      <w:r w:rsidRPr="00C0651F">
        <w:t xml:space="preserve"> VDA, 2025e</w:t>
      </w:r>
    </w:p>
  </w:footnote>
  <w:footnote w:id="82">
    <w:p w14:paraId="488181BD" w14:textId="77777777" w:rsidR="00CE5294" w:rsidRDefault="00CE5294" w:rsidP="00CE5294">
      <w:pPr>
        <w:pStyle w:val="Funotentext"/>
      </w:pPr>
      <w:r>
        <w:rPr>
          <w:rStyle w:val="Funotenzeichen"/>
        </w:rPr>
        <w:footnoteRef/>
      </w:r>
      <w:r>
        <w:t xml:space="preserve"> BDI, 2025</w:t>
      </w:r>
    </w:p>
  </w:footnote>
  <w:footnote w:id="83">
    <w:p w14:paraId="30079773" w14:textId="7B34CD21" w:rsidR="00D6098F" w:rsidRDefault="00D6098F">
      <w:pPr>
        <w:pStyle w:val="Funotentext"/>
      </w:pPr>
      <w:r>
        <w:rPr>
          <w:rStyle w:val="Funotenzeichen"/>
        </w:rPr>
        <w:footnoteRef/>
      </w:r>
      <w:r>
        <w:t xml:space="preserve"> Bundestag, 2025</w:t>
      </w:r>
    </w:p>
  </w:footnote>
  <w:footnote w:id="84">
    <w:p w14:paraId="49ABBE63" w14:textId="20D50685" w:rsidR="008C7230" w:rsidRDefault="008C7230">
      <w:pPr>
        <w:pStyle w:val="Funotentext"/>
      </w:pPr>
      <w:r>
        <w:rPr>
          <w:rStyle w:val="Funotenzeichen"/>
        </w:rPr>
        <w:footnoteRef/>
      </w:r>
      <w:r>
        <w:t xml:space="preserve"> IW Köln, 2025a</w:t>
      </w:r>
    </w:p>
  </w:footnote>
  <w:footnote w:id="85">
    <w:p w14:paraId="2B5B1E1B" w14:textId="77777777" w:rsidR="00CE5294" w:rsidRPr="000D7AF1" w:rsidRDefault="00CE5294" w:rsidP="00CE5294">
      <w:pPr>
        <w:pStyle w:val="Funotentext"/>
        <w:rPr>
          <w:rFonts w:cs="Arial"/>
        </w:rPr>
      </w:pPr>
      <w:r w:rsidRPr="000D7AF1">
        <w:rPr>
          <w:rStyle w:val="Funotenzeichen"/>
          <w:rFonts w:cs="Arial"/>
        </w:rPr>
        <w:footnoteRef/>
      </w:r>
      <w:r w:rsidRPr="000D7AF1">
        <w:rPr>
          <w:rFonts w:cs="Arial"/>
        </w:rPr>
        <w:t xml:space="preserve"> Tagesschau, 2025</w:t>
      </w:r>
      <w:r>
        <w:rPr>
          <w:rFonts w:cs="Arial"/>
        </w:rPr>
        <w:t>b</w:t>
      </w:r>
    </w:p>
  </w:footnote>
  <w:footnote w:id="86">
    <w:p w14:paraId="619EC19B" w14:textId="0C790377" w:rsidR="00CE5294" w:rsidRPr="00954CB1" w:rsidRDefault="00CE5294" w:rsidP="00CE5294">
      <w:pPr>
        <w:pStyle w:val="Funotentext"/>
      </w:pPr>
      <w:r>
        <w:rPr>
          <w:rStyle w:val="Funotenzeichen"/>
        </w:rPr>
        <w:footnoteRef/>
      </w:r>
      <w:r w:rsidRPr="00954CB1">
        <w:t xml:space="preserve"> Destatis, 2025</w:t>
      </w:r>
      <w:r w:rsidR="00784A7D" w:rsidRPr="00954CB1">
        <w:t>i</w:t>
      </w:r>
    </w:p>
  </w:footnote>
  <w:footnote w:id="87">
    <w:p w14:paraId="2A1ED953" w14:textId="53EB6152" w:rsidR="008538FF" w:rsidRPr="008538FF" w:rsidRDefault="008538FF">
      <w:pPr>
        <w:pStyle w:val="Funotentext"/>
      </w:pPr>
      <w:r>
        <w:rPr>
          <w:rStyle w:val="Funotenzeichen"/>
        </w:rPr>
        <w:footnoteRef/>
      </w:r>
      <w:r w:rsidRPr="008538FF">
        <w:t xml:space="preserve"> Tagesschau, 2025c</w:t>
      </w:r>
    </w:p>
  </w:footnote>
  <w:footnote w:id="88">
    <w:p w14:paraId="2C8E071E" w14:textId="396FEA37" w:rsidR="008538FF" w:rsidRDefault="008538FF">
      <w:pPr>
        <w:pStyle w:val="Funotentext"/>
      </w:pPr>
      <w:r>
        <w:rPr>
          <w:rStyle w:val="Funotenzeichen"/>
        </w:rPr>
        <w:footnoteRef/>
      </w:r>
      <w:r>
        <w:t xml:space="preserve"> VDA, 2025f</w:t>
      </w:r>
    </w:p>
  </w:footnote>
  <w:footnote w:id="89">
    <w:p w14:paraId="3142751F" w14:textId="5DB8F55A" w:rsidR="00ED10D1" w:rsidRDefault="00ED10D1">
      <w:pPr>
        <w:pStyle w:val="Funotentext"/>
      </w:pPr>
      <w:r>
        <w:rPr>
          <w:rStyle w:val="Funotenzeichen"/>
        </w:rPr>
        <w:footnoteRef/>
      </w:r>
      <w:r>
        <w:t xml:space="preserve"> VDA, 2025f</w:t>
      </w:r>
    </w:p>
  </w:footnote>
  <w:footnote w:id="90">
    <w:p w14:paraId="3540EAAC" w14:textId="2482EDF1" w:rsidR="00CE5294" w:rsidRDefault="00CE5294" w:rsidP="00CE5294">
      <w:pPr>
        <w:pStyle w:val="Funotentext"/>
      </w:pPr>
      <w:r>
        <w:rPr>
          <w:rStyle w:val="Funotenzeichen"/>
        </w:rPr>
        <w:footnoteRef/>
      </w:r>
      <w:r>
        <w:t xml:space="preserve"> IW Köln, 2025</w:t>
      </w:r>
      <w:r w:rsidR="008C7230">
        <w:t>b</w:t>
      </w:r>
    </w:p>
  </w:footnote>
  <w:footnote w:id="91">
    <w:p w14:paraId="16779FC7" w14:textId="4DEEF591" w:rsidR="00CE5294" w:rsidRDefault="00CE5294" w:rsidP="00CE5294">
      <w:pPr>
        <w:pStyle w:val="Funotentext"/>
      </w:pPr>
      <w:r>
        <w:rPr>
          <w:rStyle w:val="Funotenzeichen"/>
        </w:rPr>
        <w:footnoteRef/>
      </w:r>
      <w:r>
        <w:t xml:space="preserve"> IW Köln, 2025</w:t>
      </w:r>
      <w:r w:rsidR="008C7230">
        <w:t>b</w:t>
      </w:r>
    </w:p>
  </w:footnote>
  <w:footnote w:id="92">
    <w:p w14:paraId="0639603A" w14:textId="634F8C4C" w:rsidR="00CE5294" w:rsidRDefault="00CE5294" w:rsidP="00CE5294">
      <w:pPr>
        <w:pStyle w:val="Funotentext"/>
      </w:pPr>
      <w:r>
        <w:rPr>
          <w:rStyle w:val="Funotenzeichen"/>
        </w:rPr>
        <w:footnoteRef/>
      </w:r>
      <w:r>
        <w:t xml:space="preserve"> IW Köln, 2025</w:t>
      </w:r>
      <w:r w:rsidR="008C7230">
        <w:t>b</w:t>
      </w:r>
    </w:p>
  </w:footnote>
  <w:footnote w:id="93">
    <w:p w14:paraId="54F4C9F9" w14:textId="13013BA1" w:rsidR="00CE5294" w:rsidRDefault="00CE5294" w:rsidP="00CE5294">
      <w:pPr>
        <w:pStyle w:val="Funotentext"/>
      </w:pPr>
      <w:r>
        <w:rPr>
          <w:rStyle w:val="Funotenzeichen"/>
        </w:rPr>
        <w:footnoteRef/>
      </w:r>
      <w:r>
        <w:t xml:space="preserve"> VDA, 2025</w:t>
      </w:r>
      <w:r w:rsidR="00604BB1">
        <w:t>g</w:t>
      </w:r>
    </w:p>
  </w:footnote>
  <w:footnote w:id="94">
    <w:p w14:paraId="4DF53BF5" w14:textId="77777777" w:rsidR="00CE5294" w:rsidRPr="00C0651F" w:rsidRDefault="00CE5294" w:rsidP="00CE5294">
      <w:pPr>
        <w:pStyle w:val="Funotentext"/>
      </w:pPr>
      <w:r>
        <w:rPr>
          <w:rStyle w:val="Funotenzeichen"/>
        </w:rPr>
        <w:footnoteRef/>
      </w:r>
      <w:r w:rsidRPr="00C0651F">
        <w:t xml:space="preserve"> VDA, 2025</w:t>
      </w:r>
      <w:r>
        <w:t>g</w:t>
      </w:r>
    </w:p>
  </w:footnote>
  <w:footnote w:id="95">
    <w:p w14:paraId="540A126D" w14:textId="77777777" w:rsidR="00CE5294" w:rsidRDefault="00CE5294" w:rsidP="00CE5294">
      <w:pPr>
        <w:pStyle w:val="Funotentext"/>
      </w:pPr>
      <w:r>
        <w:rPr>
          <w:rStyle w:val="Funotenzeichen"/>
        </w:rPr>
        <w:footnoteRef/>
      </w:r>
      <w:r>
        <w:t xml:space="preserve"> </w:t>
      </w:r>
      <w:r w:rsidRPr="00C0651F">
        <w:t>Europäische Kommission, 2025</w:t>
      </w:r>
    </w:p>
  </w:footnote>
  <w:footnote w:id="96">
    <w:p w14:paraId="21EF7A5B" w14:textId="77777777" w:rsidR="00CE5294" w:rsidRDefault="00CE5294" w:rsidP="00CE5294">
      <w:pPr>
        <w:pStyle w:val="Funotentext"/>
      </w:pPr>
      <w:r>
        <w:rPr>
          <w:rStyle w:val="Funotenzeichen"/>
        </w:rPr>
        <w:footnoteRef/>
      </w:r>
      <w:r>
        <w:t xml:space="preserve"> </w:t>
      </w:r>
      <w:r w:rsidRPr="00C0651F">
        <w:t>Europäische Kommission, 2025</w:t>
      </w:r>
    </w:p>
  </w:footnote>
  <w:footnote w:id="97">
    <w:p w14:paraId="4A4ED28B" w14:textId="15BEF6AA" w:rsidR="00AA4C15" w:rsidRDefault="00AA4C15">
      <w:pPr>
        <w:pStyle w:val="Funotentext"/>
      </w:pPr>
      <w:r>
        <w:rPr>
          <w:rStyle w:val="Funotenzeichen"/>
        </w:rPr>
        <w:footnoteRef/>
      </w:r>
      <w:r>
        <w:t xml:space="preserve"> </w:t>
      </w:r>
      <w:r w:rsidRPr="00C0651F">
        <w:t>Europäische Kommission, 2025</w:t>
      </w:r>
    </w:p>
  </w:footnote>
  <w:footnote w:id="98">
    <w:p w14:paraId="311E9CDA" w14:textId="3A04E94B" w:rsidR="00AA4C15" w:rsidRDefault="00AA4C15">
      <w:pPr>
        <w:pStyle w:val="Funotentext"/>
      </w:pPr>
      <w:r>
        <w:rPr>
          <w:rStyle w:val="Funotenzeichen"/>
        </w:rPr>
        <w:footnoteRef/>
      </w:r>
      <w:r>
        <w:t xml:space="preserve"> </w:t>
      </w:r>
      <w:r w:rsidRPr="00C0651F">
        <w:t>Europäische Kommission, 2025</w:t>
      </w:r>
    </w:p>
  </w:footnote>
  <w:footnote w:id="99">
    <w:p w14:paraId="7AE9439F" w14:textId="347D93A6" w:rsidR="00AA4C15" w:rsidRDefault="00AA4C15">
      <w:pPr>
        <w:pStyle w:val="Funotentext"/>
      </w:pPr>
      <w:r>
        <w:rPr>
          <w:rStyle w:val="Funotenzeichen"/>
        </w:rPr>
        <w:footnoteRef/>
      </w:r>
      <w:r>
        <w:t xml:space="preserve"> IDW, 2025</w:t>
      </w:r>
    </w:p>
  </w:footnote>
  <w:footnote w:id="100">
    <w:p w14:paraId="626140D8" w14:textId="77777777" w:rsidR="00CE5294" w:rsidRDefault="00CE5294" w:rsidP="00CE5294">
      <w:pPr>
        <w:pStyle w:val="Funotentext"/>
      </w:pPr>
      <w:r>
        <w:rPr>
          <w:rStyle w:val="Funotenzeichen"/>
        </w:rPr>
        <w:footnoteRef/>
      </w:r>
      <w:r>
        <w:t xml:space="preserve"> </w:t>
      </w:r>
      <w:r w:rsidRPr="00C0651F">
        <w:t>Europäische Kommission, 2025</w:t>
      </w:r>
    </w:p>
  </w:footnote>
  <w:footnote w:id="101">
    <w:p w14:paraId="48018A84" w14:textId="77777777" w:rsidR="00CE5294" w:rsidRPr="00C0651F" w:rsidRDefault="00CE5294" w:rsidP="00CE5294">
      <w:pPr>
        <w:pStyle w:val="Funotentext"/>
      </w:pPr>
      <w:r>
        <w:rPr>
          <w:rStyle w:val="Funotenzeichen"/>
        </w:rPr>
        <w:footnoteRef/>
      </w:r>
      <w:r w:rsidRPr="00C0651F">
        <w:t xml:space="preserve"> Europäische Kommission, 2025</w:t>
      </w:r>
    </w:p>
  </w:footnote>
  <w:footnote w:id="102">
    <w:p w14:paraId="7E2BC0F1" w14:textId="77777777" w:rsidR="00CE5294" w:rsidRDefault="00CE5294" w:rsidP="00CE5294">
      <w:pPr>
        <w:pStyle w:val="Funotentext"/>
      </w:pPr>
      <w:r>
        <w:rPr>
          <w:rStyle w:val="Funotenzeichen"/>
        </w:rPr>
        <w:footnoteRef/>
      </w:r>
      <w:r>
        <w:t xml:space="preserve"> </w:t>
      </w:r>
      <w:r w:rsidRPr="0092772A">
        <w:t>Bayerisches Staatsministerium für Umwelt und Verbraucherschutz</w:t>
      </w:r>
      <w:r>
        <w:t>, 2024</w:t>
      </w:r>
    </w:p>
  </w:footnote>
  <w:footnote w:id="103">
    <w:p w14:paraId="6F95D954" w14:textId="77777777" w:rsidR="00CE5294" w:rsidRPr="0092772A" w:rsidRDefault="00CE5294" w:rsidP="00CE5294">
      <w:pPr>
        <w:pStyle w:val="Funotentext"/>
      </w:pPr>
      <w:r>
        <w:rPr>
          <w:rStyle w:val="Funotenzeichen"/>
        </w:rPr>
        <w:footnoteRef/>
      </w:r>
      <w:r w:rsidRPr="0092772A">
        <w:t xml:space="preserve"> Bayerisches Staatsministerium für Umwelt und Verbraucherschutz</w:t>
      </w:r>
      <w:r>
        <w:t>, 2024</w:t>
      </w:r>
    </w:p>
  </w:footnote>
  <w:footnote w:id="104">
    <w:p w14:paraId="62BF6E6A" w14:textId="77777777" w:rsidR="00CE5294" w:rsidRPr="001651C9" w:rsidRDefault="00CE5294" w:rsidP="00CE5294">
      <w:pPr>
        <w:pStyle w:val="Funotentext"/>
        <w:rPr>
          <w:lang w:val="en-US"/>
        </w:rPr>
      </w:pPr>
      <w:r>
        <w:rPr>
          <w:rStyle w:val="Funotenzeichen"/>
        </w:rPr>
        <w:footnoteRef/>
      </w:r>
      <w:r w:rsidRPr="001651C9">
        <w:rPr>
          <w:lang w:val="en-US"/>
        </w:rPr>
        <w:t xml:space="preserve"> International Organization for Standardization (ISO), 2025</w:t>
      </w:r>
    </w:p>
  </w:footnote>
  <w:footnote w:id="105">
    <w:p w14:paraId="64FBBEEF" w14:textId="77777777" w:rsidR="00CE5294" w:rsidRPr="00E05F54" w:rsidRDefault="00CE5294" w:rsidP="00CE5294">
      <w:pPr>
        <w:pStyle w:val="Funotentext"/>
        <w:rPr>
          <w:lang w:val="en-US"/>
        </w:rPr>
      </w:pPr>
      <w:r>
        <w:rPr>
          <w:rStyle w:val="Funotenzeichen"/>
        </w:rPr>
        <w:footnoteRef/>
      </w:r>
      <w:r w:rsidRPr="00E05F54">
        <w:rPr>
          <w:lang w:val="en-US"/>
        </w:rPr>
        <w:t xml:space="preserve"> </w:t>
      </w:r>
      <w:r w:rsidRPr="001651C9">
        <w:rPr>
          <w:lang w:val="en-US"/>
        </w:rPr>
        <w:t>International Organization for Standardization (ISO), 2025</w:t>
      </w:r>
    </w:p>
  </w:footnote>
  <w:footnote w:id="106">
    <w:p w14:paraId="28D8BC47" w14:textId="77777777" w:rsidR="00CE5294" w:rsidRPr="000B33FD" w:rsidRDefault="00CE5294" w:rsidP="00CE5294">
      <w:pPr>
        <w:pStyle w:val="Funotentext"/>
        <w:rPr>
          <w:lang w:val="en-US"/>
        </w:rPr>
      </w:pPr>
      <w:r>
        <w:rPr>
          <w:rStyle w:val="Funotenzeichen"/>
        </w:rPr>
        <w:footnoteRef/>
      </w:r>
      <w:r w:rsidRPr="000B33FD">
        <w:rPr>
          <w:lang w:val="en-US"/>
        </w:rPr>
        <w:t xml:space="preserve"> International Automotive Task Force (IATF)</w:t>
      </w:r>
      <w:r>
        <w:rPr>
          <w:lang w:val="en-US"/>
        </w:rPr>
        <w:t>,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4FCAD" w14:textId="09843644" w:rsidR="0052311C" w:rsidRDefault="00C618FE">
    <w:pPr>
      <w:pStyle w:val="Kopfzeile"/>
    </w:pPr>
    <w:r w:rsidRPr="0069074E">
      <w:rPr>
        <w:rFonts w:cs="Arial"/>
        <w:noProof/>
        <w:sz w:val="12"/>
        <w:lang w:eastAsia="de-DE"/>
      </w:rPr>
      <mc:AlternateContent>
        <mc:Choice Requires="wps">
          <w:drawing>
            <wp:anchor distT="45720" distB="45720" distL="114300" distR="114300" simplePos="0" relativeHeight="251658243" behindDoc="0" locked="0" layoutInCell="1" allowOverlap="1" wp14:anchorId="6DA8F70E" wp14:editId="04A11353">
              <wp:simplePos x="0" y="0"/>
              <wp:positionH relativeFrom="margin">
                <wp:posOffset>2736215</wp:posOffset>
              </wp:positionH>
              <wp:positionV relativeFrom="paragraph">
                <wp:posOffset>-313169</wp:posOffset>
              </wp:positionV>
              <wp:extent cx="3111500" cy="252730"/>
              <wp:effectExtent l="0" t="0" r="0" b="0"/>
              <wp:wrapNone/>
              <wp:docPr id="120315764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0" cy="252730"/>
                      </a:xfrm>
                      <a:prstGeom prst="rect">
                        <a:avLst/>
                      </a:prstGeom>
                      <a:noFill/>
                      <a:ln w="9525">
                        <a:noFill/>
                        <a:miter lim="800000"/>
                        <a:headEnd/>
                        <a:tailEnd/>
                      </a:ln>
                    </wps:spPr>
                    <wps:txbx>
                      <w:txbxContent>
                        <w:p w14:paraId="773501EF" w14:textId="4BDBE5CD" w:rsidR="00CA0A57" w:rsidRPr="0069074E" w:rsidRDefault="00CA0A57" w:rsidP="00CA0A57">
                          <w:pPr>
                            <w:spacing w:after="0" w:line="240" w:lineRule="auto"/>
                            <w:jc w:val="right"/>
                            <w:rPr>
                              <w:rFonts w:cs="Arial"/>
                              <w:color w:val="FFFFFF"/>
                              <w:szCs w:val="28"/>
                            </w:rPr>
                          </w:pPr>
                          <w:r w:rsidRPr="0069074E">
                            <w:rPr>
                              <w:rFonts w:cs="Arial"/>
                              <w:color w:val="FFFFFF"/>
                              <w:szCs w:val="28"/>
                            </w:rPr>
                            <w:fldChar w:fldCharType="begin"/>
                          </w:r>
                          <w:r w:rsidRPr="0069074E">
                            <w:rPr>
                              <w:rFonts w:cs="Arial"/>
                              <w:color w:val="FFFFFF"/>
                              <w:szCs w:val="28"/>
                            </w:rPr>
                            <w:instrText xml:space="preserve"> DATE   \* MERGEFORMAT </w:instrText>
                          </w:r>
                          <w:r w:rsidRPr="0069074E">
                            <w:rPr>
                              <w:rFonts w:cs="Arial"/>
                              <w:color w:val="FFFFFF"/>
                              <w:szCs w:val="28"/>
                            </w:rPr>
                            <w:fldChar w:fldCharType="separate"/>
                          </w:r>
                          <w:r w:rsidR="00810BAF">
                            <w:rPr>
                              <w:rFonts w:cs="Arial"/>
                              <w:noProof/>
                              <w:color w:val="FFFFFF"/>
                              <w:szCs w:val="28"/>
                            </w:rPr>
                            <w:t>28.04.2025</w:t>
                          </w:r>
                          <w:r w:rsidRPr="0069074E">
                            <w:rPr>
                              <w:rFonts w:cs="Arial"/>
                              <w:color w:val="FFFFFF"/>
                              <w:szCs w:val="28"/>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A8F70E" id="_x0000_t202" coordsize="21600,21600" o:spt="202" path="m,l,21600r21600,l21600,xe">
              <v:stroke joinstyle="miter"/>
              <v:path gradientshapeok="t" o:connecttype="rect"/>
            </v:shapetype>
            <v:shape id="Textfeld 2" o:spid="_x0000_s1026" type="#_x0000_t202" style="position:absolute;left:0;text-align:left;margin-left:215.45pt;margin-top:-24.65pt;width:245pt;height:19.9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" filled="f" stroked="f">
              <v:textbox>
                <w:txbxContent>
                  <w:p w14:paraId="773501EF" w14:textId="4BDBE5CD" w:rsidR="00CA0A57" w:rsidRPr="0069074E" w:rsidRDefault="00CA0A57" w:rsidP="00CA0A57">
                    <w:pPr>
                      <w:spacing w:after="0" w:line="240" w:lineRule="auto"/>
                      <w:jc w:val="right"/>
                      <w:rPr>
                        <w:rFonts w:cs="Arial"/>
                        <w:color w:val="FFFFFF"/>
                        <w:szCs w:val="28"/>
                      </w:rPr>
                    </w:pPr>
                    <w:r w:rsidRPr="0069074E">
                      <w:rPr>
                        <w:rFonts w:cs="Arial"/>
                        <w:color w:val="FFFFFF"/>
                        <w:szCs w:val="28"/>
                      </w:rPr>
                      <w:fldChar w:fldCharType="begin"/>
                    </w:r>
                    <w:r w:rsidRPr="0069074E">
                      <w:rPr>
                        <w:rFonts w:cs="Arial"/>
                        <w:color w:val="FFFFFF"/>
                        <w:szCs w:val="28"/>
                      </w:rPr>
                      <w:instrText xml:space="preserve"> DATE   \* MERGEFORMAT </w:instrText>
                    </w:r>
                    <w:r w:rsidRPr="0069074E">
                      <w:rPr>
                        <w:rFonts w:cs="Arial"/>
                        <w:color w:val="FFFFFF"/>
                        <w:szCs w:val="28"/>
                      </w:rPr>
                      <w:fldChar w:fldCharType="separate"/>
                    </w:r>
                    <w:r w:rsidR="00810BAF">
                      <w:rPr>
                        <w:rFonts w:cs="Arial"/>
                        <w:noProof/>
                        <w:color w:val="FFFFFF"/>
                        <w:szCs w:val="28"/>
                      </w:rPr>
                      <w:t>28.04.2025</w:t>
                    </w:r>
                    <w:r w:rsidRPr="0069074E">
                      <w:rPr>
                        <w:rFonts w:cs="Arial"/>
                        <w:color w:val="FFFFFF"/>
                        <w:szCs w:val="28"/>
                      </w:rPr>
                      <w:fldChar w:fldCharType="end"/>
                    </w:r>
                  </w:p>
                </w:txbxContent>
              </v:textbox>
              <w10:wrap anchorx="margin"/>
            </v:shape>
          </w:pict>
        </mc:Fallback>
      </mc:AlternateContent>
    </w:r>
    <w:r w:rsidRPr="0069074E">
      <w:rPr>
        <w:noProof/>
      </w:rPr>
      <w:drawing>
        <wp:anchor distT="0" distB="0" distL="114300" distR="114300" simplePos="0" relativeHeight="251658248" behindDoc="0" locked="0" layoutInCell="1" allowOverlap="1" wp14:anchorId="5C08AFFE" wp14:editId="16A31D28">
          <wp:simplePos x="0" y="0"/>
          <wp:positionH relativeFrom="margin">
            <wp:posOffset>51435</wp:posOffset>
          </wp:positionH>
          <wp:positionV relativeFrom="paragraph">
            <wp:posOffset>-391681</wp:posOffset>
          </wp:positionV>
          <wp:extent cx="722630" cy="430530"/>
          <wp:effectExtent l="0" t="0" r="1270" b="7620"/>
          <wp:wrapNone/>
          <wp:docPr id="2053326466" name="Grafik 26">
            <a:extLst xmlns:a="http://schemas.openxmlformats.org/drawingml/2006/main">
              <a:ext uri="{FF2B5EF4-FFF2-40B4-BE49-F238E27FC236}">
                <a16:creationId xmlns:a16="http://schemas.microsoft.com/office/drawing/2014/main" id="{F477AE67-C734-B6F8-BBC7-7E7ACC8ED8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114779" name="Grafik 26">
                    <a:extLst>
                      <a:ext uri="{FF2B5EF4-FFF2-40B4-BE49-F238E27FC236}">
                        <a16:creationId xmlns:a16="http://schemas.microsoft.com/office/drawing/2014/main" id="{F477AE67-C734-B6F8-BBC7-7E7ACC8ED865}"/>
                      </a:ext>
                    </a:extLst>
                  </pic:cNvPr>
                  <pic:cNvPicPr>
                    <a:picLocks noChangeAspect="1"/>
                  </pic:cNvPicPr>
                </pic:nvPicPr>
                <pic:blipFill rotWithShape="1">
                  <a:blip r:embed="rId1">
                    <a:extLst>
                      <a:ext uri="{96DAC541-7B7A-43D3-8B79-37D633B846F1}">
                        <asvg:svgBlip xmlns:asvg="http://schemas.microsoft.com/office/drawing/2016/SVG/main" r:embed="rId2"/>
                      </a:ext>
                    </a:extLst>
                  </a:blip>
                  <a:srcRect b="21625"/>
                  <a:stretch/>
                </pic:blipFill>
                <pic:spPr bwMode="auto">
                  <a:xfrm>
                    <a:off x="0" y="0"/>
                    <a:ext cx="722630" cy="4305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1" behindDoc="0" locked="0" layoutInCell="1" allowOverlap="1" wp14:anchorId="10812579" wp14:editId="30227A63">
              <wp:simplePos x="0" y="0"/>
              <wp:positionH relativeFrom="column">
                <wp:posOffset>-913879</wp:posOffset>
              </wp:positionH>
              <wp:positionV relativeFrom="paragraph">
                <wp:posOffset>-445270</wp:posOffset>
              </wp:positionV>
              <wp:extent cx="7834630" cy="539437"/>
              <wp:effectExtent l="0" t="0" r="0" b="0"/>
              <wp:wrapNone/>
              <wp:docPr id="1831525994" name="Rechteck 1"/>
              <wp:cNvGraphicFramePr/>
              <a:graphic xmlns:a="http://schemas.openxmlformats.org/drawingml/2006/main">
                <a:graphicData uri="http://schemas.microsoft.com/office/word/2010/wordprocessingShape">
                  <wps:wsp>
                    <wps:cNvSpPr/>
                    <wps:spPr>
                      <a:xfrm>
                        <a:off x="0" y="0"/>
                        <a:ext cx="7834630" cy="539437"/>
                      </a:xfrm>
                      <a:prstGeom prst="rect">
                        <a:avLst/>
                      </a:prstGeom>
                      <a:solidFill>
                        <a:srgbClr val="1E2445"/>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1AF6DFED" id="Rechteck 1" o:spid="_x0000_s1026" style="position:absolute;margin-left:-71.95pt;margin-top:-35.05pt;width:616.9pt;height:42.5pt;z-index:2516541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" fillcolor="#1e2445" stroked="f" strokeweight="1pt"/>
          </w:pict>
        </mc:Fallback>
      </mc:AlternateContent>
    </w:r>
  </w:p>
  <w:p w14:paraId="071E3F82" w14:textId="5BB1BBC9" w:rsidR="0052311C" w:rsidRDefault="0052311C">
    <w:pPr>
      <w:pStyle w:val="Kopfzeile"/>
    </w:pPr>
  </w:p>
  <w:p w14:paraId="2E771CB8" w14:textId="230661D8" w:rsidR="0052311C" w:rsidRDefault="0052311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4D9E5" w14:textId="2DD31484" w:rsidR="0052311C" w:rsidRDefault="00C618FE">
    <w:pPr>
      <w:pStyle w:val="Kopfzeile"/>
    </w:pPr>
    <w:r w:rsidRPr="0069074E">
      <w:rPr>
        <w:noProof/>
      </w:rPr>
      <w:drawing>
        <wp:anchor distT="0" distB="0" distL="114300" distR="114300" simplePos="0" relativeHeight="251658247" behindDoc="0" locked="0" layoutInCell="1" allowOverlap="1" wp14:anchorId="367650D6" wp14:editId="15C6D5AF">
          <wp:simplePos x="0" y="0"/>
          <wp:positionH relativeFrom="margin">
            <wp:posOffset>57785</wp:posOffset>
          </wp:positionH>
          <wp:positionV relativeFrom="paragraph">
            <wp:posOffset>-393814</wp:posOffset>
          </wp:positionV>
          <wp:extent cx="722630" cy="430530"/>
          <wp:effectExtent l="0" t="0" r="1270" b="7620"/>
          <wp:wrapNone/>
          <wp:docPr id="586427547" name="Grafik 26">
            <a:extLst xmlns:a="http://schemas.openxmlformats.org/drawingml/2006/main">
              <a:ext uri="{FF2B5EF4-FFF2-40B4-BE49-F238E27FC236}">
                <a16:creationId xmlns:a16="http://schemas.microsoft.com/office/drawing/2014/main" id="{F477AE67-C734-B6F8-BBC7-7E7ACC8ED8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114779" name="Grafik 26">
                    <a:extLst>
                      <a:ext uri="{FF2B5EF4-FFF2-40B4-BE49-F238E27FC236}">
                        <a16:creationId xmlns:a16="http://schemas.microsoft.com/office/drawing/2014/main" id="{F477AE67-C734-B6F8-BBC7-7E7ACC8ED865}"/>
                      </a:ext>
                    </a:extLst>
                  </pic:cNvPr>
                  <pic:cNvPicPr>
                    <a:picLocks noChangeAspect="1"/>
                  </pic:cNvPicPr>
                </pic:nvPicPr>
                <pic:blipFill rotWithShape="1">
                  <a:blip r:embed="rId1">
                    <a:extLst>
                      <a:ext uri="{96DAC541-7B7A-43D3-8B79-37D633B846F1}">
                        <asvg:svgBlip xmlns:asvg="http://schemas.microsoft.com/office/drawing/2016/SVG/main" r:embed="rId2"/>
                      </a:ext>
                    </a:extLst>
                  </a:blip>
                  <a:srcRect b="21625"/>
                  <a:stretch/>
                </pic:blipFill>
                <pic:spPr bwMode="auto">
                  <a:xfrm>
                    <a:off x="0" y="0"/>
                    <a:ext cx="722630" cy="4305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0" behindDoc="0" locked="0" layoutInCell="1" allowOverlap="1" wp14:anchorId="4E4BB861" wp14:editId="7A762695">
              <wp:simplePos x="0" y="0"/>
              <wp:positionH relativeFrom="column">
                <wp:posOffset>-976045</wp:posOffset>
              </wp:positionH>
              <wp:positionV relativeFrom="paragraph">
                <wp:posOffset>-458541</wp:posOffset>
              </wp:positionV>
              <wp:extent cx="7834630" cy="539437"/>
              <wp:effectExtent l="0" t="0" r="0" b="0"/>
              <wp:wrapNone/>
              <wp:docPr id="2095193661" name="Rechteck 1"/>
              <wp:cNvGraphicFramePr/>
              <a:graphic xmlns:a="http://schemas.openxmlformats.org/drawingml/2006/main">
                <a:graphicData uri="http://schemas.microsoft.com/office/word/2010/wordprocessingShape">
                  <wps:wsp>
                    <wps:cNvSpPr/>
                    <wps:spPr>
                      <a:xfrm>
                        <a:off x="0" y="0"/>
                        <a:ext cx="7834630" cy="539437"/>
                      </a:xfrm>
                      <a:prstGeom prst="rect">
                        <a:avLst/>
                      </a:prstGeom>
                      <a:solidFill>
                        <a:srgbClr val="1E2445"/>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4715A169" id="Rechteck 1" o:spid="_x0000_s1026" style="position:absolute;margin-left:-76.85pt;margin-top:-36.1pt;width:616.9pt;height:42.5pt;z-index:25165311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" fillcolor="#1e2445" stroked="f" strokeweight="1pt"/>
          </w:pict>
        </mc:Fallback>
      </mc:AlternateContent>
    </w:r>
  </w:p>
  <w:p w14:paraId="43445987" w14:textId="26915A3E" w:rsidR="0052311C" w:rsidRDefault="0052311C">
    <w:pPr>
      <w:pStyle w:val="Kopfzeile"/>
    </w:pPr>
  </w:p>
  <w:p w14:paraId="77212133" w14:textId="77777777" w:rsidR="00CA0A57" w:rsidRDefault="00CA0A5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61858"/>
    <w:multiLevelType w:val="hybridMultilevel"/>
    <w:tmpl w:val="48FA3478"/>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2D6F291B"/>
    <w:multiLevelType w:val="hybridMultilevel"/>
    <w:tmpl w:val="65D282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72A0CE5"/>
    <w:multiLevelType w:val="hybridMultilevel"/>
    <w:tmpl w:val="E2CC708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4CC79D9"/>
    <w:multiLevelType w:val="hybridMultilevel"/>
    <w:tmpl w:val="7312D420"/>
    <w:lvl w:ilvl="0" w:tplc="197AAA04">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59E14B36"/>
    <w:multiLevelType w:val="hybridMultilevel"/>
    <w:tmpl w:val="48288E0E"/>
    <w:lvl w:ilvl="0" w:tplc="DE2AA35C">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F9649FB"/>
    <w:multiLevelType w:val="hybridMultilevel"/>
    <w:tmpl w:val="3EC803B4"/>
    <w:lvl w:ilvl="0" w:tplc="85324062">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78B91362"/>
    <w:multiLevelType w:val="hybridMultilevel"/>
    <w:tmpl w:val="BD96A0E4"/>
    <w:lvl w:ilvl="0" w:tplc="B5389544">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7F43011A"/>
    <w:multiLevelType w:val="multilevel"/>
    <w:tmpl w:val="C040E1E2"/>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num w:numId="1" w16cid:durableId="1048145552">
    <w:abstractNumId w:val="2"/>
  </w:num>
  <w:num w:numId="2" w16cid:durableId="602957808">
    <w:abstractNumId w:val="4"/>
  </w:num>
  <w:num w:numId="3" w16cid:durableId="1102266158">
    <w:abstractNumId w:val="6"/>
  </w:num>
  <w:num w:numId="4" w16cid:durableId="319501152">
    <w:abstractNumId w:val="7"/>
  </w:num>
  <w:num w:numId="5" w16cid:durableId="960771549">
    <w:abstractNumId w:val="5"/>
  </w:num>
  <w:num w:numId="6" w16cid:durableId="1010571079">
    <w:abstractNumId w:val="3"/>
  </w:num>
  <w:num w:numId="7" w16cid:durableId="676420456">
    <w:abstractNumId w:val="0"/>
  </w:num>
  <w:num w:numId="8" w16cid:durableId="15758162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EFE"/>
    <w:rsid w:val="000157BC"/>
    <w:rsid w:val="00024588"/>
    <w:rsid w:val="00034ABD"/>
    <w:rsid w:val="00036040"/>
    <w:rsid w:val="00055E2E"/>
    <w:rsid w:val="000807EE"/>
    <w:rsid w:val="0008680A"/>
    <w:rsid w:val="000E6784"/>
    <w:rsid w:val="00103038"/>
    <w:rsid w:val="001247DB"/>
    <w:rsid w:val="0012489E"/>
    <w:rsid w:val="00146C20"/>
    <w:rsid w:val="001B1EFE"/>
    <w:rsid w:val="001E476D"/>
    <w:rsid w:val="001F6F9A"/>
    <w:rsid w:val="002127B3"/>
    <w:rsid w:val="00230A83"/>
    <w:rsid w:val="0026128D"/>
    <w:rsid w:val="002870B7"/>
    <w:rsid w:val="00294128"/>
    <w:rsid w:val="00297462"/>
    <w:rsid w:val="002B0C3A"/>
    <w:rsid w:val="002B6A40"/>
    <w:rsid w:val="002C53DF"/>
    <w:rsid w:val="002D6002"/>
    <w:rsid w:val="002F662B"/>
    <w:rsid w:val="00312530"/>
    <w:rsid w:val="00330A60"/>
    <w:rsid w:val="0033729A"/>
    <w:rsid w:val="003729E7"/>
    <w:rsid w:val="00377FCE"/>
    <w:rsid w:val="00381DE6"/>
    <w:rsid w:val="003C090E"/>
    <w:rsid w:val="003E71BF"/>
    <w:rsid w:val="00427891"/>
    <w:rsid w:val="00437229"/>
    <w:rsid w:val="004636CC"/>
    <w:rsid w:val="00467805"/>
    <w:rsid w:val="004739D0"/>
    <w:rsid w:val="004C71C0"/>
    <w:rsid w:val="004D799D"/>
    <w:rsid w:val="004E49E8"/>
    <w:rsid w:val="0052311C"/>
    <w:rsid w:val="00531816"/>
    <w:rsid w:val="00553C8D"/>
    <w:rsid w:val="00604BB1"/>
    <w:rsid w:val="00620B18"/>
    <w:rsid w:val="00665C81"/>
    <w:rsid w:val="006B30D0"/>
    <w:rsid w:val="006F4071"/>
    <w:rsid w:val="007150AC"/>
    <w:rsid w:val="00772E3F"/>
    <w:rsid w:val="00777672"/>
    <w:rsid w:val="00784A7D"/>
    <w:rsid w:val="00791BDD"/>
    <w:rsid w:val="007A27A6"/>
    <w:rsid w:val="007F7A54"/>
    <w:rsid w:val="00805E41"/>
    <w:rsid w:val="008071CA"/>
    <w:rsid w:val="00810BAF"/>
    <w:rsid w:val="00814D58"/>
    <w:rsid w:val="00823AA1"/>
    <w:rsid w:val="0083411B"/>
    <w:rsid w:val="008538FF"/>
    <w:rsid w:val="00856035"/>
    <w:rsid w:val="0086077A"/>
    <w:rsid w:val="00894085"/>
    <w:rsid w:val="00895220"/>
    <w:rsid w:val="008A65F2"/>
    <w:rsid w:val="008A66A1"/>
    <w:rsid w:val="008A689B"/>
    <w:rsid w:val="008B1582"/>
    <w:rsid w:val="008B6B44"/>
    <w:rsid w:val="008C7230"/>
    <w:rsid w:val="008F1BC7"/>
    <w:rsid w:val="008F658F"/>
    <w:rsid w:val="00911379"/>
    <w:rsid w:val="009371F4"/>
    <w:rsid w:val="00937E05"/>
    <w:rsid w:val="009420E1"/>
    <w:rsid w:val="00954CB1"/>
    <w:rsid w:val="009913A9"/>
    <w:rsid w:val="00997BC0"/>
    <w:rsid w:val="009A2E58"/>
    <w:rsid w:val="009A7182"/>
    <w:rsid w:val="009D422B"/>
    <w:rsid w:val="009F5EA7"/>
    <w:rsid w:val="00A1737D"/>
    <w:rsid w:val="00A23027"/>
    <w:rsid w:val="00A23F9F"/>
    <w:rsid w:val="00A377D4"/>
    <w:rsid w:val="00A52C5B"/>
    <w:rsid w:val="00A57933"/>
    <w:rsid w:val="00A90BD2"/>
    <w:rsid w:val="00AA4C15"/>
    <w:rsid w:val="00AC3E40"/>
    <w:rsid w:val="00AE321B"/>
    <w:rsid w:val="00AF509A"/>
    <w:rsid w:val="00B40C8D"/>
    <w:rsid w:val="00B52052"/>
    <w:rsid w:val="00B535D7"/>
    <w:rsid w:val="00B662B7"/>
    <w:rsid w:val="00B671F1"/>
    <w:rsid w:val="00B71C76"/>
    <w:rsid w:val="00B93A09"/>
    <w:rsid w:val="00B96EEC"/>
    <w:rsid w:val="00BD133C"/>
    <w:rsid w:val="00C276DF"/>
    <w:rsid w:val="00C41738"/>
    <w:rsid w:val="00C618FE"/>
    <w:rsid w:val="00C658C9"/>
    <w:rsid w:val="00C84EE6"/>
    <w:rsid w:val="00CA0A57"/>
    <w:rsid w:val="00CA34F8"/>
    <w:rsid w:val="00CC1739"/>
    <w:rsid w:val="00CE5294"/>
    <w:rsid w:val="00D13F28"/>
    <w:rsid w:val="00D17008"/>
    <w:rsid w:val="00D307CB"/>
    <w:rsid w:val="00D47601"/>
    <w:rsid w:val="00D6098F"/>
    <w:rsid w:val="00DA5835"/>
    <w:rsid w:val="00DC1B2F"/>
    <w:rsid w:val="00DD6940"/>
    <w:rsid w:val="00DF6A83"/>
    <w:rsid w:val="00E33311"/>
    <w:rsid w:val="00E62077"/>
    <w:rsid w:val="00E77B25"/>
    <w:rsid w:val="00ED10D1"/>
    <w:rsid w:val="00EF0F30"/>
    <w:rsid w:val="00EF5FAC"/>
    <w:rsid w:val="00F04383"/>
    <w:rsid w:val="00F06F68"/>
    <w:rsid w:val="00F226E9"/>
    <w:rsid w:val="00F776DA"/>
    <w:rsid w:val="00F93088"/>
    <w:rsid w:val="00FB73A2"/>
    <w:rsid w:val="00FD2F4D"/>
    <w:rsid w:val="00FE4A6F"/>
    <w:rsid w:val="00FE76E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6B3D5C"/>
  <w15:chartTrackingRefBased/>
  <w15:docId w15:val="{117EDC56-D111-4224-A1EC-E67494950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F6F9A"/>
    <w:pPr>
      <w:spacing w:after="120" w:line="360" w:lineRule="auto"/>
      <w:jc w:val="both"/>
    </w:pPr>
    <w:rPr>
      <w:rFonts w:ascii="Arial" w:hAnsi="Arial"/>
    </w:rPr>
  </w:style>
  <w:style w:type="paragraph" w:styleId="berschrift1">
    <w:name w:val="heading 1"/>
    <w:basedOn w:val="Standard"/>
    <w:next w:val="Standard"/>
    <w:link w:val="berschrift1Zchn"/>
    <w:uiPriority w:val="9"/>
    <w:qFormat/>
    <w:rsid w:val="00CA0A57"/>
    <w:pPr>
      <w:keepNext/>
      <w:keepLines/>
      <w:numPr>
        <w:numId w:val="4"/>
      </w:numPr>
      <w:spacing w:before="360"/>
      <w:ind w:left="431" w:hanging="431"/>
      <w:outlineLvl w:val="0"/>
    </w:pPr>
    <w:rPr>
      <w:rFonts w:eastAsiaTheme="majorEastAsia" w:cstheme="majorBidi"/>
      <w:b/>
      <w:color w:val="1E2445"/>
      <w:sz w:val="28"/>
      <w:szCs w:val="32"/>
    </w:rPr>
  </w:style>
  <w:style w:type="paragraph" w:styleId="berschrift2">
    <w:name w:val="heading 2"/>
    <w:basedOn w:val="Standard"/>
    <w:next w:val="Standard"/>
    <w:link w:val="berschrift2Zchn"/>
    <w:uiPriority w:val="9"/>
    <w:unhideWhenUsed/>
    <w:qFormat/>
    <w:rsid w:val="00CA0A57"/>
    <w:pPr>
      <w:keepNext/>
      <w:keepLines/>
      <w:numPr>
        <w:ilvl w:val="1"/>
        <w:numId w:val="4"/>
      </w:numPr>
      <w:spacing w:before="240"/>
      <w:ind w:left="578" w:hanging="578"/>
      <w:outlineLvl w:val="1"/>
    </w:pPr>
    <w:rPr>
      <w:rFonts w:eastAsiaTheme="majorEastAsia" w:cstheme="majorBidi"/>
      <w:b/>
      <w:color w:val="1E2445"/>
      <w:sz w:val="24"/>
      <w:szCs w:val="26"/>
    </w:rPr>
  </w:style>
  <w:style w:type="paragraph" w:styleId="berschrift3">
    <w:name w:val="heading 3"/>
    <w:basedOn w:val="berschrift2"/>
    <w:next w:val="Standard"/>
    <w:link w:val="berschrift3Zchn"/>
    <w:uiPriority w:val="9"/>
    <w:unhideWhenUsed/>
    <w:qFormat/>
    <w:rsid w:val="00CA0A57"/>
    <w:pPr>
      <w:numPr>
        <w:ilvl w:val="2"/>
      </w:numPr>
      <w:spacing w:after="0"/>
      <w:outlineLvl w:val="2"/>
    </w:pPr>
    <w:rPr>
      <w:szCs w:val="24"/>
    </w:rPr>
  </w:style>
  <w:style w:type="paragraph" w:styleId="berschrift4">
    <w:name w:val="heading 4"/>
    <w:basedOn w:val="Standard"/>
    <w:next w:val="Standard"/>
    <w:link w:val="berschrift4Zchn"/>
    <w:uiPriority w:val="9"/>
    <w:unhideWhenUsed/>
    <w:qFormat/>
    <w:rsid w:val="00805E41"/>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unhideWhenUsed/>
    <w:qFormat/>
    <w:rsid w:val="009371F4"/>
    <w:pPr>
      <w:keepNext/>
      <w:keepLines/>
      <w:numPr>
        <w:ilvl w:val="4"/>
        <w:numId w:val="4"/>
      </w:numPr>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9371F4"/>
    <w:pPr>
      <w:keepNext/>
      <w:keepLines/>
      <w:numPr>
        <w:ilvl w:val="5"/>
        <w:numId w:val="4"/>
      </w:numPr>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9371F4"/>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9371F4"/>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9371F4"/>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B1EF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B1EFE"/>
    <w:rPr>
      <w:rFonts w:ascii="Arial" w:hAnsi="Arial"/>
    </w:rPr>
  </w:style>
  <w:style w:type="paragraph" w:styleId="Fuzeile">
    <w:name w:val="footer"/>
    <w:basedOn w:val="Standard"/>
    <w:link w:val="FuzeileZchn"/>
    <w:uiPriority w:val="99"/>
    <w:unhideWhenUsed/>
    <w:rsid w:val="001B1EF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B1EFE"/>
    <w:rPr>
      <w:rFonts w:ascii="Arial" w:hAnsi="Arial"/>
    </w:rPr>
  </w:style>
  <w:style w:type="character" w:customStyle="1" w:styleId="berschrift2Zchn">
    <w:name w:val="Überschrift 2 Zchn"/>
    <w:basedOn w:val="Absatz-Standardschriftart"/>
    <w:link w:val="berschrift2"/>
    <w:uiPriority w:val="9"/>
    <w:rsid w:val="00CA0A57"/>
    <w:rPr>
      <w:rFonts w:ascii="Arial" w:eastAsiaTheme="majorEastAsia" w:hAnsi="Arial" w:cstheme="majorBidi"/>
      <w:b/>
      <w:color w:val="1E2445"/>
      <w:sz w:val="24"/>
      <w:szCs w:val="26"/>
    </w:rPr>
  </w:style>
  <w:style w:type="character" w:styleId="Hyperlink">
    <w:name w:val="Hyperlink"/>
    <w:basedOn w:val="Absatz-Standardschriftart"/>
    <w:uiPriority w:val="99"/>
    <w:unhideWhenUsed/>
    <w:rsid w:val="001B1EFE"/>
    <w:rPr>
      <w:lang w:val="en-US"/>
    </w:rPr>
  </w:style>
  <w:style w:type="paragraph" w:styleId="Sprechblasentext">
    <w:name w:val="Balloon Text"/>
    <w:basedOn w:val="Standard"/>
    <w:link w:val="SprechblasentextZchn"/>
    <w:uiPriority w:val="99"/>
    <w:semiHidden/>
    <w:unhideWhenUsed/>
    <w:rsid w:val="00F0438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04383"/>
    <w:rPr>
      <w:rFonts w:ascii="Segoe UI" w:hAnsi="Segoe UI" w:cs="Segoe UI"/>
      <w:sz w:val="18"/>
      <w:szCs w:val="18"/>
    </w:rPr>
  </w:style>
  <w:style w:type="character" w:customStyle="1" w:styleId="berschrift1Zchn">
    <w:name w:val="Überschrift 1 Zchn"/>
    <w:basedOn w:val="Absatz-Standardschriftart"/>
    <w:link w:val="berschrift1"/>
    <w:uiPriority w:val="9"/>
    <w:rsid w:val="00CA0A57"/>
    <w:rPr>
      <w:rFonts w:ascii="Arial" w:eastAsiaTheme="majorEastAsia" w:hAnsi="Arial" w:cstheme="majorBidi"/>
      <w:b/>
      <w:color w:val="1E2445"/>
      <w:sz w:val="28"/>
      <w:szCs w:val="32"/>
    </w:rPr>
  </w:style>
  <w:style w:type="table" w:styleId="Tabellenraster">
    <w:name w:val="Table Grid"/>
    <w:basedOn w:val="NormaleTabelle"/>
    <w:uiPriority w:val="59"/>
    <w:rsid w:val="002D60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uiPriority w:val="9"/>
    <w:rsid w:val="00CA0A57"/>
    <w:rPr>
      <w:rFonts w:ascii="Arial" w:eastAsiaTheme="majorEastAsia" w:hAnsi="Arial" w:cstheme="majorBidi"/>
      <w:b/>
      <w:color w:val="1E2445"/>
      <w:sz w:val="24"/>
      <w:szCs w:val="24"/>
    </w:rPr>
  </w:style>
  <w:style w:type="character" w:customStyle="1" w:styleId="berschrift4Zchn">
    <w:name w:val="Überschrift 4 Zchn"/>
    <w:basedOn w:val="Absatz-Standardschriftart"/>
    <w:link w:val="berschrift4"/>
    <w:uiPriority w:val="9"/>
    <w:rsid w:val="00805E41"/>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rsid w:val="009371F4"/>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9371F4"/>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9371F4"/>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9371F4"/>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9371F4"/>
    <w:rPr>
      <w:rFonts w:asciiTheme="majorHAnsi" w:eastAsiaTheme="majorEastAsia" w:hAnsiTheme="majorHAnsi" w:cstheme="majorBidi"/>
      <w:i/>
      <w:iCs/>
      <w:color w:val="272727" w:themeColor="text1" w:themeTint="D8"/>
      <w:sz w:val="21"/>
      <w:szCs w:val="21"/>
    </w:rPr>
  </w:style>
  <w:style w:type="paragraph" w:customStyle="1" w:styleId="berschriftnichtnummeriert">
    <w:name w:val="Überschrift nicht nummeriert"/>
    <w:basedOn w:val="berschrift5"/>
    <w:link w:val="berschriftnichtnummeriertZchn"/>
    <w:qFormat/>
    <w:rsid w:val="00CA0A57"/>
    <w:pPr>
      <w:numPr>
        <w:ilvl w:val="0"/>
        <w:numId w:val="0"/>
      </w:numPr>
      <w:spacing w:before="240" w:after="120"/>
    </w:pPr>
    <w:rPr>
      <w:rFonts w:ascii="Arial" w:hAnsi="Arial"/>
      <w:b/>
      <w:color w:val="1E2445"/>
      <w:sz w:val="28"/>
    </w:rPr>
  </w:style>
  <w:style w:type="paragraph" w:styleId="Listenabsatz">
    <w:name w:val="List Paragraph"/>
    <w:basedOn w:val="Standard"/>
    <w:uiPriority w:val="34"/>
    <w:qFormat/>
    <w:rsid w:val="00C658C9"/>
    <w:pPr>
      <w:ind w:left="720"/>
      <w:contextualSpacing/>
    </w:pPr>
  </w:style>
  <w:style w:type="character" w:customStyle="1" w:styleId="berschriftnichtnummeriertZchn">
    <w:name w:val="Überschrift nicht nummeriert Zchn"/>
    <w:basedOn w:val="berschrift5Zchn"/>
    <w:link w:val="berschriftnichtnummeriert"/>
    <w:rsid w:val="00CA0A57"/>
    <w:rPr>
      <w:rFonts w:ascii="Arial" w:eastAsiaTheme="majorEastAsia" w:hAnsi="Arial" w:cstheme="majorBidi"/>
      <w:b/>
      <w:color w:val="1E2445"/>
      <w:sz w:val="28"/>
    </w:rPr>
  </w:style>
  <w:style w:type="paragraph" w:styleId="Beschriftung">
    <w:name w:val="caption"/>
    <w:basedOn w:val="Standard"/>
    <w:next w:val="Standard"/>
    <w:uiPriority w:val="35"/>
    <w:unhideWhenUsed/>
    <w:qFormat/>
    <w:rsid w:val="00C658C9"/>
    <w:rPr>
      <w:bCs/>
    </w:rPr>
  </w:style>
  <w:style w:type="paragraph" w:styleId="Abbildungsverzeichnis">
    <w:name w:val="table of figures"/>
    <w:basedOn w:val="Verzeichnis2"/>
    <w:next w:val="Standard"/>
    <w:link w:val="AbbildungsverzeichnisZchn"/>
    <w:autoRedefine/>
    <w:uiPriority w:val="99"/>
    <w:unhideWhenUsed/>
    <w:rsid w:val="00024588"/>
    <w:pPr>
      <w:tabs>
        <w:tab w:val="left" w:pos="1276"/>
        <w:tab w:val="left" w:pos="2410"/>
        <w:tab w:val="left" w:pos="7938"/>
      </w:tabs>
      <w:spacing w:after="120"/>
      <w:ind w:left="1418" w:hanging="1418"/>
    </w:pPr>
    <w:rPr>
      <w:rFonts w:eastAsiaTheme="minorEastAsia"/>
      <w:lang w:eastAsia="de-DE"/>
    </w:rPr>
  </w:style>
  <w:style w:type="character" w:customStyle="1" w:styleId="AbbildungsverzeichnisZchn">
    <w:name w:val="Abbildungsverzeichnis Zchn"/>
    <w:basedOn w:val="Absatz-Standardschriftart"/>
    <w:link w:val="Abbildungsverzeichnis"/>
    <w:uiPriority w:val="99"/>
    <w:rsid w:val="00024588"/>
    <w:rPr>
      <w:rFonts w:ascii="Arial" w:eastAsiaTheme="minorEastAsia" w:hAnsi="Arial"/>
      <w:lang w:eastAsia="de-DE"/>
    </w:rPr>
  </w:style>
  <w:style w:type="paragraph" w:styleId="Verzeichnis2">
    <w:name w:val="toc 2"/>
    <w:basedOn w:val="Standard"/>
    <w:next w:val="Standard"/>
    <w:autoRedefine/>
    <w:uiPriority w:val="39"/>
    <w:unhideWhenUsed/>
    <w:rsid w:val="00C658C9"/>
    <w:pPr>
      <w:spacing w:after="100"/>
      <w:ind w:left="220"/>
    </w:pPr>
  </w:style>
  <w:style w:type="paragraph" w:styleId="Verzeichnis1">
    <w:name w:val="toc 1"/>
    <w:basedOn w:val="Standard"/>
    <w:next w:val="Standard"/>
    <w:autoRedefine/>
    <w:uiPriority w:val="39"/>
    <w:unhideWhenUsed/>
    <w:rsid w:val="00A57933"/>
    <w:pPr>
      <w:spacing w:after="100"/>
    </w:pPr>
  </w:style>
  <w:style w:type="paragraph" w:styleId="Verzeichnis3">
    <w:name w:val="toc 3"/>
    <w:basedOn w:val="Standard"/>
    <w:next w:val="Standard"/>
    <w:autoRedefine/>
    <w:uiPriority w:val="39"/>
    <w:unhideWhenUsed/>
    <w:rsid w:val="00A57933"/>
    <w:pPr>
      <w:spacing w:after="100"/>
      <w:ind w:left="440"/>
    </w:pPr>
  </w:style>
  <w:style w:type="character" w:styleId="NichtaufgelsteErwhnung">
    <w:name w:val="Unresolved Mention"/>
    <w:basedOn w:val="Absatz-Standardschriftart"/>
    <w:uiPriority w:val="99"/>
    <w:semiHidden/>
    <w:unhideWhenUsed/>
    <w:rsid w:val="00024588"/>
    <w:rPr>
      <w:color w:val="605E5C"/>
      <w:shd w:val="clear" w:color="auto" w:fill="E1DFDD"/>
    </w:rPr>
  </w:style>
  <w:style w:type="paragraph" w:styleId="StandardWeb">
    <w:name w:val="Normal (Web)"/>
    <w:basedOn w:val="Standard"/>
    <w:uiPriority w:val="99"/>
    <w:semiHidden/>
    <w:unhideWhenUsed/>
    <w:rsid w:val="000807EE"/>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m8865788025647841653msolistparagraph">
    <w:name w:val="m_8865788025647841653msolistparagraph"/>
    <w:basedOn w:val="Standard"/>
    <w:rsid w:val="00814D58"/>
    <w:pPr>
      <w:spacing w:before="100" w:beforeAutospacing="1" w:after="100" w:afterAutospacing="1" w:line="240" w:lineRule="auto"/>
      <w:jc w:val="left"/>
    </w:pPr>
    <w:rPr>
      <w:rFonts w:ascii="Times New Roman" w:eastAsia="Times New Roman" w:hAnsi="Times New Roman" w:cs="Times New Roman"/>
      <w:sz w:val="24"/>
      <w:szCs w:val="24"/>
      <w:lang w:eastAsia="de-DE"/>
    </w:rPr>
  </w:style>
  <w:style w:type="paragraph" w:styleId="Funotentext">
    <w:name w:val="footnote text"/>
    <w:basedOn w:val="Standard"/>
    <w:link w:val="FunotentextZchn"/>
    <w:uiPriority w:val="99"/>
    <w:unhideWhenUsed/>
    <w:rsid w:val="00CE5294"/>
    <w:pPr>
      <w:spacing w:after="0" w:line="240" w:lineRule="auto"/>
    </w:pPr>
    <w:rPr>
      <w:sz w:val="20"/>
      <w:szCs w:val="20"/>
    </w:rPr>
  </w:style>
  <w:style w:type="character" w:customStyle="1" w:styleId="FunotentextZchn">
    <w:name w:val="Fußnotentext Zchn"/>
    <w:basedOn w:val="Absatz-Standardschriftart"/>
    <w:link w:val="Funotentext"/>
    <w:uiPriority w:val="99"/>
    <w:rsid w:val="00CE5294"/>
    <w:rPr>
      <w:rFonts w:ascii="Arial" w:hAnsi="Arial"/>
      <w:sz w:val="20"/>
      <w:szCs w:val="20"/>
    </w:rPr>
  </w:style>
  <w:style w:type="character" w:styleId="Funotenzeichen">
    <w:name w:val="footnote reference"/>
    <w:basedOn w:val="Absatz-Standardschriftart"/>
    <w:uiPriority w:val="99"/>
    <w:semiHidden/>
    <w:unhideWhenUsed/>
    <w:rsid w:val="00CE5294"/>
    <w:rPr>
      <w:vertAlign w:val="superscript"/>
    </w:rPr>
  </w:style>
  <w:style w:type="paragraph" w:styleId="Kommentartext">
    <w:name w:val="annotation text"/>
    <w:basedOn w:val="Standard"/>
    <w:link w:val="KommentartextZchn"/>
    <w:unhideWhenUsed/>
    <w:rsid w:val="00CE5294"/>
    <w:pPr>
      <w:spacing w:after="0" w:line="240" w:lineRule="auto"/>
      <w:jc w:val="left"/>
    </w:pPr>
    <w:rPr>
      <w:rFonts w:eastAsia="Times New Roman" w:cs="Times New Roman"/>
      <w:sz w:val="20"/>
      <w:szCs w:val="20"/>
      <w:lang w:eastAsia="de-DE"/>
    </w:rPr>
  </w:style>
  <w:style w:type="character" w:customStyle="1" w:styleId="KommentartextZchn">
    <w:name w:val="Kommentartext Zchn"/>
    <w:basedOn w:val="Absatz-Standardschriftart"/>
    <w:link w:val="Kommentartext"/>
    <w:rsid w:val="00CE5294"/>
    <w:rPr>
      <w:rFonts w:ascii="Arial" w:eastAsia="Times New Roman" w:hAnsi="Arial" w:cs="Times New Roman"/>
      <w:sz w:val="20"/>
      <w:szCs w:val="20"/>
      <w:lang w:eastAsia="de-DE"/>
    </w:rPr>
  </w:style>
  <w:style w:type="character" w:styleId="Kommentarzeichen">
    <w:name w:val="annotation reference"/>
    <w:semiHidden/>
    <w:unhideWhenUsed/>
    <w:rsid w:val="00CE5294"/>
    <w:rPr>
      <w:rFonts w:ascii="Arial" w:hAnsi="Arial" w:cs="Arial" w:hint="default"/>
      <w:sz w:val="16"/>
    </w:rPr>
  </w:style>
  <w:style w:type="paragraph" w:customStyle="1" w:styleId="pf0">
    <w:name w:val="pf0"/>
    <w:basedOn w:val="Standard"/>
    <w:rsid w:val="00CE5294"/>
    <w:pPr>
      <w:spacing w:before="100" w:beforeAutospacing="1" w:after="100" w:afterAutospacing="1" w:line="240" w:lineRule="auto"/>
      <w:jc w:val="left"/>
    </w:pPr>
    <w:rPr>
      <w:rFonts w:ascii="Times New Roman" w:eastAsia="Times New Roman" w:hAnsi="Times New Roman" w:cs="Times New Roman"/>
      <w:sz w:val="24"/>
      <w:szCs w:val="24"/>
      <w:lang w:eastAsia="de-DE"/>
    </w:rPr>
  </w:style>
  <w:style w:type="paragraph" w:styleId="berarbeitung">
    <w:name w:val="Revision"/>
    <w:hidden/>
    <w:uiPriority w:val="99"/>
    <w:semiHidden/>
    <w:rsid w:val="00A23F9F"/>
    <w:pPr>
      <w:spacing w:after="0" w:line="240" w:lineRule="auto"/>
    </w:pPr>
    <w:rPr>
      <w:rFonts w:ascii="Arial" w:hAnsi="Arial"/>
    </w:rPr>
  </w:style>
  <w:style w:type="paragraph" w:styleId="Kommentarthema">
    <w:name w:val="annotation subject"/>
    <w:basedOn w:val="Kommentartext"/>
    <w:next w:val="Kommentartext"/>
    <w:link w:val="KommentarthemaZchn"/>
    <w:uiPriority w:val="99"/>
    <w:semiHidden/>
    <w:unhideWhenUsed/>
    <w:rsid w:val="00A23F9F"/>
    <w:pPr>
      <w:spacing w:after="120"/>
      <w:jc w:val="both"/>
    </w:pPr>
    <w:rPr>
      <w:rFonts w:eastAsiaTheme="minorHAnsi" w:cstheme="minorBidi"/>
      <w:b/>
      <w:bCs/>
      <w:lang w:eastAsia="en-US"/>
    </w:rPr>
  </w:style>
  <w:style w:type="character" w:customStyle="1" w:styleId="KommentarthemaZchn">
    <w:name w:val="Kommentarthema Zchn"/>
    <w:basedOn w:val="KommentartextZchn"/>
    <w:link w:val="Kommentarthema"/>
    <w:uiPriority w:val="99"/>
    <w:semiHidden/>
    <w:rsid w:val="00A23F9F"/>
    <w:rPr>
      <w:rFonts w:ascii="Arial" w:eastAsia="Times New Roman" w:hAnsi="Arial" w:cs="Times New Roman"/>
      <w:b/>
      <w:bCs/>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894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bdi.eu/wachstumwaehlen-bdi-forderungen-zur-bundestagswahl" TargetMode="External"/><Relationship Id="rId21" Type="http://schemas.openxmlformats.org/officeDocument/2006/relationships/chart" Target="charts/chart4.xml"/><Relationship Id="rId34" Type="http://schemas.openxmlformats.org/officeDocument/2006/relationships/hyperlink" Target="https://www-genesis.destatis.de/datenbank/online/statistic/42131/table/42131-0002" TargetMode="External"/><Relationship Id="rId42" Type="http://schemas.openxmlformats.org/officeDocument/2006/relationships/hyperlink" Target="https://www.imf.org/en/Publications/WEO/Issues/2025/01/17/world-economic-outlook-update-january-2025" TargetMode="External"/><Relationship Id="rId47" Type="http://schemas.openxmlformats.org/officeDocument/2006/relationships/hyperlink" Target="https://www.iwkoeln.de/fileadmin/user_upload/Studien/Kurzberichte/PDF/2025/IW-Kurzbericht_2025-Z%C3%B6lle-ME-CA-CN.pdf" TargetMode="External"/><Relationship Id="rId50" Type="http://schemas.openxmlformats.org/officeDocument/2006/relationships/hyperlink" Target="https://de.statista.com/statistik/daten/studie/38694/umfrage/zew-konjunkturerwartung-deutschland/" TargetMode="External"/><Relationship Id="rId55" Type="http://schemas.openxmlformats.org/officeDocument/2006/relationships/hyperlink" Target="https://www.vda.de/de/presse/Pressemeldungen/2025/250121_PM_Jahrespressekonferenz_2025_DE" TargetMode="External"/><Relationship Id="rId63" Type="http://schemas.openxmlformats.org/officeDocument/2006/relationships/hyperlink" Target="https://www.zdf.de/nachrichten/wirtschaft/autoindustrie-deutschland-krise-aussichten-100.html"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www.destatis.de/DE/Presse/Pressekonferenzen/2025/bip2024/statement-bip.pdf?__blob=publicationFile&amp;v=3" TargetMode="External"/><Relationship Id="rId11" Type="http://schemas.openxmlformats.org/officeDocument/2006/relationships/image" Target="media/image1.jpeg"/><Relationship Id="rId24" Type="http://schemas.openxmlformats.org/officeDocument/2006/relationships/hyperlink" Target="https://www.acea.auto/files/Press_release_commercial_vehicle_registrations_2024.pdf" TargetMode="External"/><Relationship Id="rId32" Type="http://schemas.openxmlformats.org/officeDocument/2006/relationships/hyperlink" Target="https://www-genesis.destatis.de/datenbank/online/statistic/42111/table/42111-0004" TargetMode="External"/><Relationship Id="rId37" Type="http://schemas.openxmlformats.org/officeDocument/2006/relationships/hyperlink" Target="https://ec.europa.eu/eurostat/databrowser/view/tec00115/default/table?lang=de" TargetMode="External"/><Relationship Id="rId40" Type="http://schemas.openxmlformats.org/officeDocument/2006/relationships/hyperlink" Target="https://www.handelsblatt.com/politik/international/maerkte-die-angst-vor-der-weltrezession/100119086.html" TargetMode="External"/><Relationship Id="rId45" Type="http://schemas.openxmlformats.org/officeDocument/2006/relationships/hyperlink" Target="https://committee.iso.org/sites/tc176sc2/home/news/content-left-area/news-and-updates/update-iso-9001-revision-1.html" TargetMode="External"/><Relationship Id="rId53" Type="http://schemas.openxmlformats.org/officeDocument/2006/relationships/hyperlink" Target="https://www.vda.de/de/aktuelles/zahlen-und-daten/monatszahlen" TargetMode="External"/><Relationship Id="rId58" Type="http://schemas.openxmlformats.org/officeDocument/2006/relationships/hyperlink" Target="https://vdma.org/documents/34570/4802648/Charts_D_Jahres-PK+Konjunktur+2024-2025.pdf/529ec0ec-2ecb-1f12-125d-5a4c9830d9c6?t=1733818629385?filename=Charts_D_Jahres-PK+Konjunktur+2024-2025.pdf" TargetMode="External"/><Relationship Id="rId5" Type="http://schemas.openxmlformats.org/officeDocument/2006/relationships/numbering" Target="numbering.xml"/><Relationship Id="rId61" Type="http://schemas.openxmlformats.org/officeDocument/2006/relationships/hyperlink" Target="https://www.tagesschau.de/wirtschaft/weltwirtschaft/usa-trump-zoelle-stahl-aluminium-100.html" TargetMode="External"/><Relationship Id="rId19" Type="http://schemas.openxmlformats.org/officeDocument/2006/relationships/chart" Target="charts/chart2.xml"/><Relationship Id="rId14" Type="http://schemas.openxmlformats.org/officeDocument/2006/relationships/image" Target="media/image3.jpeg"/><Relationship Id="rId22" Type="http://schemas.openxmlformats.org/officeDocument/2006/relationships/chart" Target="charts/chart5.xml"/><Relationship Id="rId27" Type="http://schemas.openxmlformats.org/officeDocument/2006/relationships/hyperlink" Target="https://www.arbeitsagentur.de/presse/2025-02-jahresrueckblick-2024" TargetMode="External"/><Relationship Id="rId30" Type="http://schemas.openxmlformats.org/officeDocument/2006/relationships/hyperlink" Target="https://www-genesis.destatis.de/datenbank/online/statistic/51000/table/51000-0005" TargetMode="External"/><Relationship Id="rId35" Type="http://schemas.openxmlformats.org/officeDocument/2006/relationships/hyperlink" Target="https://www-genesis.destatis.de/datenbank/online/statistic/61241/table/61241-0003" TargetMode="External"/><Relationship Id="rId43" Type="http://schemas.openxmlformats.org/officeDocument/2006/relationships/hyperlink" Target="https://www.imf.org/external/datamapper/PCPIPCH@WEO/OEMDC/WEOWORLD" TargetMode="External"/><Relationship Id="rId48" Type="http://schemas.openxmlformats.org/officeDocument/2006/relationships/hyperlink" Target="https://www.pwc.de/de/industrielle-produktion/pwc-maschinenbau-barometer-q3-2024.pdf" TargetMode="External"/><Relationship Id="rId56" Type="http://schemas.openxmlformats.org/officeDocument/2006/relationships/hyperlink" Target="https://www.vda.de/de/presse/Pressemeldungen/2025/250403_Kommentierung_US-Zollpaket" TargetMode="External"/><Relationship Id="rId64"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vci.de/vci/downloads-vci/publikation/vci-positionen-bundestagswahl-2025.pdf"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2.xml"/><Relationship Id="rId25" Type="http://schemas.openxmlformats.org/officeDocument/2006/relationships/hyperlink" Target="https://www.umweltpakt.bayern.de/nachhaltigkeit/fachwissen/420/der-vsme-standard" TargetMode="External"/><Relationship Id="rId33" Type="http://schemas.openxmlformats.org/officeDocument/2006/relationships/hyperlink" Target="https://www-genesis.destatis.de/datenbank/online/statistic/42151/table/42151-0002" TargetMode="External"/><Relationship Id="rId38" Type="http://schemas.openxmlformats.org/officeDocument/2006/relationships/hyperlink" Target="https://ec.europa.eu/eurostat/databrowser/view/prc_hicp_aind/default/table?lang=de&amp;category=prc.prc_hicp" TargetMode="External"/><Relationship Id="rId46" Type="http://schemas.openxmlformats.org/officeDocument/2006/relationships/hyperlink" Target="https://www.iwkoeln.de/fileadmin/user_upload/Studien/Kurzberichte/PDF/2025/IW-Kurzbericht_2025-Sonderverm%C3%B6gen.pdf" TargetMode="External"/><Relationship Id="rId59" Type="http://schemas.openxmlformats.org/officeDocument/2006/relationships/hyperlink" Target="https://www.vdma.org/viewer/-/v2article/render/139786115" TargetMode="External"/><Relationship Id="rId20" Type="http://schemas.openxmlformats.org/officeDocument/2006/relationships/chart" Target="charts/chart3.xml"/><Relationship Id="rId41" Type="http://schemas.openxmlformats.org/officeDocument/2006/relationships/hyperlink" Target="https://www.ilo.org/sites/default/files/2025-01/WESO25_Trends_EN_WEB5.pdf" TargetMode="External"/><Relationship Id="rId54" Type="http://schemas.openxmlformats.org/officeDocument/2006/relationships/hyperlink" Target="https://www.vda.de/dam/jcr:28187e83-049f-4fe3-8f2e-c5605ee293b9/Pressematerial_VDA-Jahres-Pressekonferenz_2025?mode=view" TargetMode="External"/><Relationship Id="rId62" Type="http://schemas.openxmlformats.org/officeDocument/2006/relationships/hyperlink" Target="https://www.tagesschau.de/wirtschaft/weltwirtschaft/trump-zoelle-wirtschaft-100.html"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hyperlink" Target="https://www.acea.auto/files/Press_release_car_registrations_December_2024.pdf" TargetMode="External"/><Relationship Id="rId28" Type="http://schemas.openxmlformats.org/officeDocument/2006/relationships/hyperlink" Target="https://www.bundestag.de/presse/hib/kurzmeldungen-1057342" TargetMode="External"/><Relationship Id="rId36" Type="http://schemas.openxmlformats.org/officeDocument/2006/relationships/hyperlink" Target="https://www-genesis.destatis.de/datenbank/online/statistic/51000/table/51000-0003" TargetMode="External"/><Relationship Id="rId49" Type="http://schemas.openxmlformats.org/officeDocument/2006/relationships/hyperlink" Target="https://www.pwc.de/de/industrielle-produktion/pwc-maschinenbau-barometer-q4-2024.pdf" TargetMode="External"/><Relationship Id="rId57" Type="http://schemas.openxmlformats.org/officeDocument/2006/relationships/hyperlink" Target="https://www.vda.de/de/aktuelles/artikel/2024/vda-mittelstandstag-2024" TargetMode="External"/><Relationship Id="rId10" Type="http://schemas.openxmlformats.org/officeDocument/2006/relationships/endnotes" Target="endnotes.xml"/><Relationship Id="rId31" Type="http://schemas.openxmlformats.org/officeDocument/2006/relationships/hyperlink" Target="https://www-genesis.destatis.de/datenbank/online/statistic/42153/table/42153-0002" TargetMode="External"/><Relationship Id="rId44" Type="http://schemas.openxmlformats.org/officeDocument/2006/relationships/hyperlink" Target="https://www.iatfglobaloversight.org/news/24-october-2024-iatf-16949-revision-2/" TargetMode="External"/><Relationship Id="rId52" Type="http://schemas.openxmlformats.org/officeDocument/2006/relationships/hyperlink" Target="https://www.vda.de/de/presse/Pressemeldungen/2025/250106_PM_Nationale_PM_Pkw-Produktion_in_Deutschland_im_Dezember_2024" TargetMode="External"/><Relationship Id="rId60" Type="http://schemas.openxmlformats.org/officeDocument/2006/relationships/hyperlink" Target="https://www.tagesschau.de/inland/bundestagswahl/programmvergleich" TargetMode="Externa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microsoft.com/office/2007/relationships/hdphoto" Target="media/hdphoto1.wdp"/><Relationship Id="rId18" Type="http://schemas.openxmlformats.org/officeDocument/2006/relationships/chart" Target="charts/chart1.xml"/><Relationship Id="rId39" Type="http://schemas.openxmlformats.org/officeDocument/2006/relationships/hyperlink" Target="https://ec.europa.eu/eurostat/statistics-explained/index.php?title=EU_labour_market_-_quarterly_statistic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l.knoche_v-i-a\Downloads\kurzarbeit-hr-dlkrdaa-0-xlsx%20(4).xlsx" TargetMode="Externa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3022197982827978E-2"/>
          <c:y val="8.0168570477986048E-2"/>
          <c:w val="0.69720123881466922"/>
          <c:h val="0.76661263418914816"/>
        </c:manualLayout>
      </c:layout>
      <c:areaChart>
        <c:grouping val="stacked"/>
        <c:varyColors val="0"/>
        <c:ser>
          <c:idx val="0"/>
          <c:order val="0"/>
          <c:tx>
            <c:strRef>
              <c:f>Tabelle2!$A$17</c:f>
              <c:strCache>
                <c:ptCount val="1"/>
                <c:pt idx="0">
                  <c:v>1-5 Beschäftigte</c:v>
                </c:pt>
              </c:strCache>
            </c:strRef>
          </c:tx>
          <c:spPr>
            <a:solidFill>
              <a:schemeClr val="tx1">
                <a:lumMod val="75000"/>
                <a:lumOff val="25000"/>
              </a:schemeClr>
            </a:solidFill>
          </c:spPr>
          <c:cat>
            <c:multiLvlStrRef>
              <c:f>Tabelle1!$E$1:$AC$2</c:f>
              <c:multiLvlStrCache>
                <c:ptCount val="25"/>
                <c:lvl>
                  <c:pt idx="0">
                    <c:v>Januar 2025 (HR1)</c:v>
                  </c:pt>
                  <c:pt idx="1">
                    <c:v>Dezember 2024 (HR2)</c:v>
                  </c:pt>
                  <c:pt idx="2">
                    <c:v>November 2024 (HR3)</c:v>
                  </c:pt>
                  <c:pt idx="3">
                    <c:v>Oktober 2024 (HR4)</c:v>
                  </c:pt>
                  <c:pt idx="4">
                    <c:v>September</c:v>
                  </c:pt>
                  <c:pt idx="5">
                    <c:v>August</c:v>
                  </c:pt>
                  <c:pt idx="6">
                    <c:v>Juli</c:v>
                  </c:pt>
                  <c:pt idx="7">
                    <c:v>Juni</c:v>
                  </c:pt>
                  <c:pt idx="8">
                    <c:v>Mai</c:v>
                  </c:pt>
                  <c:pt idx="9">
                    <c:v>April</c:v>
                  </c:pt>
                  <c:pt idx="10">
                    <c:v>März</c:v>
                  </c:pt>
                  <c:pt idx="11">
                    <c:v>Februar</c:v>
                  </c:pt>
                  <c:pt idx="12">
                    <c:v>Januar</c:v>
                  </c:pt>
                  <c:pt idx="13">
                    <c:v>Dezember</c:v>
                  </c:pt>
                  <c:pt idx="14">
                    <c:v>November</c:v>
                  </c:pt>
                  <c:pt idx="15">
                    <c:v>Oktober</c:v>
                  </c:pt>
                  <c:pt idx="16">
                    <c:v>September</c:v>
                  </c:pt>
                  <c:pt idx="17">
                    <c:v>August</c:v>
                  </c:pt>
                  <c:pt idx="18">
                    <c:v>Juli</c:v>
                  </c:pt>
                  <c:pt idx="19">
                    <c:v>Juni</c:v>
                  </c:pt>
                  <c:pt idx="20">
                    <c:v>Mai</c:v>
                  </c:pt>
                  <c:pt idx="21">
                    <c:v>April</c:v>
                  </c:pt>
                  <c:pt idx="22">
                    <c:v>März</c:v>
                  </c:pt>
                  <c:pt idx="23">
                    <c:v>Februar</c:v>
                  </c:pt>
                  <c:pt idx="24">
                    <c:v>Januar</c:v>
                  </c:pt>
                </c:lvl>
                <c:lvl>
                  <c:pt idx="4">
                    <c:v> </c:v>
                  </c:pt>
                  <c:pt idx="5">
                    <c:v> </c:v>
                  </c:pt>
                  <c:pt idx="6">
                    <c:v> </c:v>
                  </c:pt>
                  <c:pt idx="7">
                    <c:v> </c:v>
                  </c:pt>
                  <c:pt idx="8">
                    <c:v> </c:v>
                  </c:pt>
                  <c:pt idx="9">
                    <c:v> </c:v>
                  </c:pt>
                  <c:pt idx="10">
                    <c:v> </c:v>
                  </c:pt>
                  <c:pt idx="11">
                    <c:v> </c:v>
                  </c:pt>
                  <c:pt idx="12">
                    <c:v>2024</c:v>
                  </c:pt>
                  <c:pt idx="13">
                    <c:v> </c:v>
                  </c:pt>
                  <c:pt idx="14">
                    <c:v> </c:v>
                  </c:pt>
                  <c:pt idx="15">
                    <c:v> </c:v>
                  </c:pt>
                  <c:pt idx="16">
                    <c:v> </c:v>
                  </c:pt>
                  <c:pt idx="17">
                    <c:v> </c:v>
                  </c:pt>
                  <c:pt idx="18">
                    <c:v> </c:v>
                  </c:pt>
                  <c:pt idx="19">
                    <c:v> </c:v>
                  </c:pt>
                  <c:pt idx="20">
                    <c:v> </c:v>
                  </c:pt>
                  <c:pt idx="21">
                    <c:v> </c:v>
                  </c:pt>
                  <c:pt idx="22">
                    <c:v> </c:v>
                  </c:pt>
                  <c:pt idx="23">
                    <c:v> </c:v>
                  </c:pt>
                  <c:pt idx="24">
                    <c:v>2023</c:v>
                  </c:pt>
                </c:lvl>
              </c:multiLvlStrCache>
            </c:multiLvlStrRef>
          </c:cat>
          <c:val>
            <c:numRef>
              <c:f>Tabelle2!$B$17:$Z$17</c:f>
              <c:numCache>
                <c:formatCode>* #,##0;* \-_ #,##0;\-</c:formatCode>
                <c:ptCount val="25"/>
                <c:pt idx="0">
                  <c:v>2698.6899093841189</c:v>
                </c:pt>
                <c:pt idx="1">
                  <c:v>2337.6150088207355</c:v>
                </c:pt>
                <c:pt idx="2">
                  <c:v>2883.4808014474297</c:v>
                </c:pt>
                <c:pt idx="3">
                  <c:v>2664.9106012658231</c:v>
                </c:pt>
                <c:pt idx="4" formatCode="#,##0">
                  <c:v>2594</c:v>
                </c:pt>
                <c:pt idx="5" formatCode="#,##0">
                  <c:v>2500</c:v>
                </c:pt>
                <c:pt idx="6" formatCode="#,##0">
                  <c:v>2547</c:v>
                </c:pt>
                <c:pt idx="7" formatCode="#,##0">
                  <c:v>2581</c:v>
                </c:pt>
                <c:pt idx="8" formatCode="#,##0">
                  <c:v>2552</c:v>
                </c:pt>
                <c:pt idx="9" formatCode="#,##0">
                  <c:v>2572</c:v>
                </c:pt>
                <c:pt idx="10" formatCode="#,##0">
                  <c:v>2344</c:v>
                </c:pt>
                <c:pt idx="11" formatCode="#,##0">
                  <c:v>2352</c:v>
                </c:pt>
                <c:pt idx="12" formatCode="#,##0">
                  <c:v>2158</c:v>
                </c:pt>
                <c:pt idx="13" formatCode="#,##0">
                  <c:v>1920</c:v>
                </c:pt>
                <c:pt idx="14" formatCode="#,##0">
                  <c:v>2512</c:v>
                </c:pt>
                <c:pt idx="15" formatCode="#,##0">
                  <c:v>2238</c:v>
                </c:pt>
                <c:pt idx="16" formatCode="#,##0">
                  <c:v>2235</c:v>
                </c:pt>
                <c:pt idx="17" formatCode="#,##0">
                  <c:v>2093</c:v>
                </c:pt>
                <c:pt idx="18" formatCode="#,##0">
                  <c:v>2062</c:v>
                </c:pt>
                <c:pt idx="19" formatCode="#,##0">
                  <c:v>2683</c:v>
                </c:pt>
                <c:pt idx="20" formatCode="#,##0">
                  <c:v>2749</c:v>
                </c:pt>
                <c:pt idx="21" formatCode="#,##0">
                  <c:v>2962</c:v>
                </c:pt>
                <c:pt idx="22" formatCode="#,##0">
                  <c:v>3502</c:v>
                </c:pt>
                <c:pt idx="23" formatCode="#,##0">
                  <c:v>3794</c:v>
                </c:pt>
                <c:pt idx="24" formatCode="#,##0">
                  <c:v>3630</c:v>
                </c:pt>
              </c:numCache>
            </c:numRef>
          </c:val>
          <c:extLst>
            <c:ext xmlns:c16="http://schemas.microsoft.com/office/drawing/2014/chart" uri="{C3380CC4-5D6E-409C-BE32-E72D297353CC}">
              <c16:uniqueId val="{00000000-C4E6-427B-8574-5DD4E3434246}"/>
            </c:ext>
          </c:extLst>
        </c:ser>
        <c:ser>
          <c:idx val="1"/>
          <c:order val="1"/>
          <c:tx>
            <c:strRef>
              <c:f>Tabelle2!$A$18</c:f>
              <c:strCache>
                <c:ptCount val="1"/>
                <c:pt idx="0">
                  <c:v>6-9 Beschäftigte</c:v>
                </c:pt>
              </c:strCache>
            </c:strRef>
          </c:tx>
          <c:spPr>
            <a:solidFill>
              <a:srgbClr val="B8C0D1"/>
            </a:solidFill>
            <a:ln>
              <a:noFill/>
            </a:ln>
          </c:spPr>
          <c:cat>
            <c:multiLvlStrRef>
              <c:f>Tabelle1!$E$1:$AC$2</c:f>
              <c:multiLvlStrCache>
                <c:ptCount val="25"/>
                <c:lvl>
                  <c:pt idx="0">
                    <c:v>Januar 2025 (HR1)</c:v>
                  </c:pt>
                  <c:pt idx="1">
                    <c:v>Dezember 2024 (HR2)</c:v>
                  </c:pt>
                  <c:pt idx="2">
                    <c:v>November 2024 (HR3)</c:v>
                  </c:pt>
                  <c:pt idx="3">
                    <c:v>Oktober 2024 (HR4)</c:v>
                  </c:pt>
                  <c:pt idx="4">
                    <c:v>September</c:v>
                  </c:pt>
                  <c:pt idx="5">
                    <c:v>August</c:v>
                  </c:pt>
                  <c:pt idx="6">
                    <c:v>Juli</c:v>
                  </c:pt>
                  <c:pt idx="7">
                    <c:v>Juni</c:v>
                  </c:pt>
                  <c:pt idx="8">
                    <c:v>Mai</c:v>
                  </c:pt>
                  <c:pt idx="9">
                    <c:v>April</c:v>
                  </c:pt>
                  <c:pt idx="10">
                    <c:v>März</c:v>
                  </c:pt>
                  <c:pt idx="11">
                    <c:v>Februar</c:v>
                  </c:pt>
                  <c:pt idx="12">
                    <c:v>Januar</c:v>
                  </c:pt>
                  <c:pt idx="13">
                    <c:v>Dezember</c:v>
                  </c:pt>
                  <c:pt idx="14">
                    <c:v>November</c:v>
                  </c:pt>
                  <c:pt idx="15">
                    <c:v>Oktober</c:v>
                  </c:pt>
                  <c:pt idx="16">
                    <c:v>September</c:v>
                  </c:pt>
                  <c:pt idx="17">
                    <c:v>August</c:v>
                  </c:pt>
                  <c:pt idx="18">
                    <c:v>Juli</c:v>
                  </c:pt>
                  <c:pt idx="19">
                    <c:v>Juni</c:v>
                  </c:pt>
                  <c:pt idx="20">
                    <c:v>Mai</c:v>
                  </c:pt>
                  <c:pt idx="21">
                    <c:v>April</c:v>
                  </c:pt>
                  <c:pt idx="22">
                    <c:v>März</c:v>
                  </c:pt>
                  <c:pt idx="23">
                    <c:v>Februar</c:v>
                  </c:pt>
                  <c:pt idx="24">
                    <c:v>Januar</c:v>
                  </c:pt>
                </c:lvl>
                <c:lvl>
                  <c:pt idx="4">
                    <c:v> </c:v>
                  </c:pt>
                  <c:pt idx="5">
                    <c:v> </c:v>
                  </c:pt>
                  <c:pt idx="6">
                    <c:v> </c:v>
                  </c:pt>
                  <c:pt idx="7">
                    <c:v> </c:v>
                  </c:pt>
                  <c:pt idx="8">
                    <c:v> </c:v>
                  </c:pt>
                  <c:pt idx="9">
                    <c:v> </c:v>
                  </c:pt>
                  <c:pt idx="10">
                    <c:v> </c:v>
                  </c:pt>
                  <c:pt idx="11">
                    <c:v> </c:v>
                  </c:pt>
                  <c:pt idx="12">
                    <c:v>2024</c:v>
                  </c:pt>
                  <c:pt idx="13">
                    <c:v> </c:v>
                  </c:pt>
                  <c:pt idx="14">
                    <c:v> </c:v>
                  </c:pt>
                  <c:pt idx="15">
                    <c:v> </c:v>
                  </c:pt>
                  <c:pt idx="16">
                    <c:v> </c:v>
                  </c:pt>
                  <c:pt idx="17">
                    <c:v> </c:v>
                  </c:pt>
                  <c:pt idx="18">
                    <c:v> </c:v>
                  </c:pt>
                  <c:pt idx="19">
                    <c:v> </c:v>
                  </c:pt>
                  <c:pt idx="20">
                    <c:v> </c:v>
                  </c:pt>
                  <c:pt idx="21">
                    <c:v> </c:v>
                  </c:pt>
                  <c:pt idx="22">
                    <c:v> </c:v>
                  </c:pt>
                  <c:pt idx="23">
                    <c:v> </c:v>
                  </c:pt>
                  <c:pt idx="24">
                    <c:v>2023</c:v>
                  </c:pt>
                </c:lvl>
              </c:multiLvlStrCache>
            </c:multiLvlStrRef>
          </c:cat>
          <c:val>
            <c:numRef>
              <c:f>Tabelle2!$B$18:$Z$18</c:f>
              <c:numCache>
                <c:formatCode>* #,##0;* \-_ #,##0;\-</c:formatCode>
                <c:ptCount val="25"/>
                <c:pt idx="0">
                  <c:v>1158.0011419870575</c:v>
                </c:pt>
                <c:pt idx="1">
                  <c:v>950.54560585885486</c:v>
                </c:pt>
                <c:pt idx="2">
                  <c:v>1222.1267903645833</c:v>
                </c:pt>
                <c:pt idx="3">
                  <c:v>1122.7901612903227</c:v>
                </c:pt>
                <c:pt idx="4" formatCode="#,##0">
                  <c:v>991</c:v>
                </c:pt>
                <c:pt idx="5" formatCode="#,##0">
                  <c:v>956</c:v>
                </c:pt>
                <c:pt idx="6" formatCode="#,##0">
                  <c:v>1040</c:v>
                </c:pt>
                <c:pt idx="7" formatCode="#,##0">
                  <c:v>1057</c:v>
                </c:pt>
                <c:pt idx="8" formatCode="#,##0">
                  <c:v>1056</c:v>
                </c:pt>
                <c:pt idx="9" formatCode="#,##0">
                  <c:v>1121</c:v>
                </c:pt>
                <c:pt idx="10" formatCode="#,##0">
                  <c:v>938</c:v>
                </c:pt>
                <c:pt idx="11" formatCode="#,##0">
                  <c:v>965</c:v>
                </c:pt>
                <c:pt idx="12" formatCode="#,##0">
                  <c:v>916</c:v>
                </c:pt>
                <c:pt idx="13" formatCode="#,##0">
                  <c:v>744</c:v>
                </c:pt>
                <c:pt idx="14" formatCode="#,##0">
                  <c:v>1027</c:v>
                </c:pt>
                <c:pt idx="15" formatCode="#,##0">
                  <c:v>919</c:v>
                </c:pt>
                <c:pt idx="16" formatCode="#,##0">
                  <c:v>825</c:v>
                </c:pt>
                <c:pt idx="17" formatCode="#,##0">
                  <c:v>759</c:v>
                </c:pt>
                <c:pt idx="18" formatCode="#,##0">
                  <c:v>759</c:v>
                </c:pt>
                <c:pt idx="19" formatCode="#,##0">
                  <c:v>1050</c:v>
                </c:pt>
                <c:pt idx="20" formatCode="#,##0">
                  <c:v>1042</c:v>
                </c:pt>
                <c:pt idx="21" formatCode="#,##0">
                  <c:v>1103</c:v>
                </c:pt>
                <c:pt idx="22" formatCode="#,##0">
                  <c:v>1227</c:v>
                </c:pt>
                <c:pt idx="23" formatCode="#,##0">
                  <c:v>1305</c:v>
                </c:pt>
                <c:pt idx="24" formatCode="#,##0">
                  <c:v>1240</c:v>
                </c:pt>
              </c:numCache>
            </c:numRef>
          </c:val>
          <c:extLst>
            <c:ext xmlns:c16="http://schemas.microsoft.com/office/drawing/2014/chart" uri="{C3380CC4-5D6E-409C-BE32-E72D297353CC}">
              <c16:uniqueId val="{00000001-C4E6-427B-8574-5DD4E3434246}"/>
            </c:ext>
          </c:extLst>
        </c:ser>
        <c:ser>
          <c:idx val="2"/>
          <c:order val="2"/>
          <c:tx>
            <c:strRef>
              <c:f>Tabelle2!$A$19</c:f>
              <c:strCache>
                <c:ptCount val="1"/>
                <c:pt idx="0">
                  <c:v>10-19 Beschäftigte</c:v>
                </c:pt>
              </c:strCache>
            </c:strRef>
          </c:tx>
          <c:spPr>
            <a:solidFill>
              <a:schemeClr val="bg1">
                <a:lumMod val="65000"/>
              </a:schemeClr>
            </a:solidFill>
            <a:ln>
              <a:noFill/>
            </a:ln>
          </c:spPr>
          <c:cat>
            <c:multiLvlStrRef>
              <c:f>Tabelle1!$E$1:$AC$2</c:f>
              <c:multiLvlStrCache>
                <c:ptCount val="25"/>
                <c:lvl>
                  <c:pt idx="0">
                    <c:v>Januar 2025 (HR1)</c:v>
                  </c:pt>
                  <c:pt idx="1">
                    <c:v>Dezember 2024 (HR2)</c:v>
                  </c:pt>
                  <c:pt idx="2">
                    <c:v>November 2024 (HR3)</c:v>
                  </c:pt>
                  <c:pt idx="3">
                    <c:v>Oktober 2024 (HR4)</c:v>
                  </c:pt>
                  <c:pt idx="4">
                    <c:v>September</c:v>
                  </c:pt>
                  <c:pt idx="5">
                    <c:v>August</c:v>
                  </c:pt>
                  <c:pt idx="6">
                    <c:v>Juli</c:v>
                  </c:pt>
                  <c:pt idx="7">
                    <c:v>Juni</c:v>
                  </c:pt>
                  <c:pt idx="8">
                    <c:v>Mai</c:v>
                  </c:pt>
                  <c:pt idx="9">
                    <c:v>April</c:v>
                  </c:pt>
                  <c:pt idx="10">
                    <c:v>März</c:v>
                  </c:pt>
                  <c:pt idx="11">
                    <c:v>Februar</c:v>
                  </c:pt>
                  <c:pt idx="12">
                    <c:v>Januar</c:v>
                  </c:pt>
                  <c:pt idx="13">
                    <c:v>Dezember</c:v>
                  </c:pt>
                  <c:pt idx="14">
                    <c:v>November</c:v>
                  </c:pt>
                  <c:pt idx="15">
                    <c:v>Oktober</c:v>
                  </c:pt>
                  <c:pt idx="16">
                    <c:v>September</c:v>
                  </c:pt>
                  <c:pt idx="17">
                    <c:v>August</c:v>
                  </c:pt>
                  <c:pt idx="18">
                    <c:v>Juli</c:v>
                  </c:pt>
                  <c:pt idx="19">
                    <c:v>Juni</c:v>
                  </c:pt>
                  <c:pt idx="20">
                    <c:v>Mai</c:v>
                  </c:pt>
                  <c:pt idx="21">
                    <c:v>April</c:v>
                  </c:pt>
                  <c:pt idx="22">
                    <c:v>März</c:v>
                  </c:pt>
                  <c:pt idx="23">
                    <c:v>Februar</c:v>
                  </c:pt>
                  <c:pt idx="24">
                    <c:v>Januar</c:v>
                  </c:pt>
                </c:lvl>
                <c:lvl>
                  <c:pt idx="4">
                    <c:v> </c:v>
                  </c:pt>
                  <c:pt idx="5">
                    <c:v> </c:v>
                  </c:pt>
                  <c:pt idx="6">
                    <c:v> </c:v>
                  </c:pt>
                  <c:pt idx="7">
                    <c:v> </c:v>
                  </c:pt>
                  <c:pt idx="8">
                    <c:v> </c:v>
                  </c:pt>
                  <c:pt idx="9">
                    <c:v> </c:v>
                  </c:pt>
                  <c:pt idx="10">
                    <c:v> </c:v>
                  </c:pt>
                  <c:pt idx="11">
                    <c:v> </c:v>
                  </c:pt>
                  <c:pt idx="12">
                    <c:v>2024</c:v>
                  </c:pt>
                  <c:pt idx="13">
                    <c:v> </c:v>
                  </c:pt>
                  <c:pt idx="14">
                    <c:v> </c:v>
                  </c:pt>
                  <c:pt idx="15">
                    <c:v> </c:v>
                  </c:pt>
                  <c:pt idx="16">
                    <c:v> </c:v>
                  </c:pt>
                  <c:pt idx="17">
                    <c:v> </c:v>
                  </c:pt>
                  <c:pt idx="18">
                    <c:v> </c:v>
                  </c:pt>
                  <c:pt idx="19">
                    <c:v> </c:v>
                  </c:pt>
                  <c:pt idx="20">
                    <c:v> </c:v>
                  </c:pt>
                  <c:pt idx="21">
                    <c:v> </c:v>
                  </c:pt>
                  <c:pt idx="22">
                    <c:v> </c:v>
                  </c:pt>
                  <c:pt idx="23">
                    <c:v> </c:v>
                  </c:pt>
                  <c:pt idx="24">
                    <c:v>2023</c:v>
                  </c:pt>
                </c:lvl>
              </c:multiLvlStrCache>
            </c:multiLvlStrRef>
          </c:cat>
          <c:val>
            <c:numRef>
              <c:f>Tabelle2!$B$19:$Z$19</c:f>
              <c:numCache>
                <c:formatCode>* #,##0;* \-_ #,##0;\-</c:formatCode>
                <c:ptCount val="25"/>
                <c:pt idx="0">
                  <c:v>1510.0187169811322</c:v>
                </c:pt>
                <c:pt idx="1">
                  <c:v>1224.35179581634</c:v>
                </c:pt>
                <c:pt idx="2">
                  <c:v>1586.8078142839022</c:v>
                </c:pt>
                <c:pt idx="3">
                  <c:v>1458.1371414192249</c:v>
                </c:pt>
                <c:pt idx="4" formatCode="#,##0">
                  <c:v>1354</c:v>
                </c:pt>
                <c:pt idx="5" formatCode="#,##0">
                  <c:v>1240</c:v>
                </c:pt>
                <c:pt idx="6" formatCode="#,##0">
                  <c:v>1297</c:v>
                </c:pt>
                <c:pt idx="7" formatCode="#,##0">
                  <c:v>1339</c:v>
                </c:pt>
                <c:pt idx="8" formatCode="#,##0">
                  <c:v>1290</c:v>
                </c:pt>
                <c:pt idx="9" formatCode="#,##0">
                  <c:v>1407</c:v>
                </c:pt>
                <c:pt idx="10" formatCode="#,##0">
                  <c:v>1276</c:v>
                </c:pt>
                <c:pt idx="11" formatCode="#,##0">
                  <c:v>1237</c:v>
                </c:pt>
                <c:pt idx="12" formatCode="#,##0">
                  <c:v>1132</c:v>
                </c:pt>
                <c:pt idx="13" formatCode="#,##0">
                  <c:v>936</c:v>
                </c:pt>
                <c:pt idx="14" formatCode="#,##0">
                  <c:v>1131</c:v>
                </c:pt>
                <c:pt idx="15" formatCode="#,##0">
                  <c:v>1014</c:v>
                </c:pt>
                <c:pt idx="16" formatCode="#,##0">
                  <c:v>938</c:v>
                </c:pt>
                <c:pt idx="17" formatCode="#,##0">
                  <c:v>786</c:v>
                </c:pt>
                <c:pt idx="18" formatCode="#,##0">
                  <c:v>773</c:v>
                </c:pt>
                <c:pt idx="19" formatCode="#,##0">
                  <c:v>1083</c:v>
                </c:pt>
                <c:pt idx="20" formatCode="#,##0">
                  <c:v>1092</c:v>
                </c:pt>
                <c:pt idx="21" formatCode="#,##0">
                  <c:v>1133</c:v>
                </c:pt>
                <c:pt idx="22" formatCode="#,##0">
                  <c:v>1303</c:v>
                </c:pt>
                <c:pt idx="23" formatCode="#,##0">
                  <c:v>1313</c:v>
                </c:pt>
                <c:pt idx="24" formatCode="#,##0">
                  <c:v>1253</c:v>
                </c:pt>
              </c:numCache>
            </c:numRef>
          </c:val>
          <c:extLst>
            <c:ext xmlns:c16="http://schemas.microsoft.com/office/drawing/2014/chart" uri="{C3380CC4-5D6E-409C-BE32-E72D297353CC}">
              <c16:uniqueId val="{00000002-C4E6-427B-8574-5DD4E3434246}"/>
            </c:ext>
          </c:extLst>
        </c:ser>
        <c:ser>
          <c:idx val="3"/>
          <c:order val="3"/>
          <c:tx>
            <c:strRef>
              <c:f>Tabelle2!$A$20</c:f>
              <c:strCache>
                <c:ptCount val="1"/>
                <c:pt idx="0">
                  <c:v>20-49 Beschäftigte</c:v>
                </c:pt>
              </c:strCache>
            </c:strRef>
          </c:tx>
          <c:spPr>
            <a:solidFill>
              <a:srgbClr val="747C8F"/>
            </a:solidFill>
            <a:ln>
              <a:noFill/>
            </a:ln>
          </c:spPr>
          <c:cat>
            <c:multiLvlStrRef>
              <c:f>Tabelle1!$E$1:$AC$2</c:f>
              <c:multiLvlStrCache>
                <c:ptCount val="25"/>
                <c:lvl>
                  <c:pt idx="0">
                    <c:v>Januar 2025 (HR1)</c:v>
                  </c:pt>
                  <c:pt idx="1">
                    <c:v>Dezember 2024 (HR2)</c:v>
                  </c:pt>
                  <c:pt idx="2">
                    <c:v>November 2024 (HR3)</c:v>
                  </c:pt>
                  <c:pt idx="3">
                    <c:v>Oktober 2024 (HR4)</c:v>
                  </c:pt>
                  <c:pt idx="4">
                    <c:v>September</c:v>
                  </c:pt>
                  <c:pt idx="5">
                    <c:v>August</c:v>
                  </c:pt>
                  <c:pt idx="6">
                    <c:v>Juli</c:v>
                  </c:pt>
                  <c:pt idx="7">
                    <c:v>Juni</c:v>
                  </c:pt>
                  <c:pt idx="8">
                    <c:v>Mai</c:v>
                  </c:pt>
                  <c:pt idx="9">
                    <c:v>April</c:v>
                  </c:pt>
                  <c:pt idx="10">
                    <c:v>März</c:v>
                  </c:pt>
                  <c:pt idx="11">
                    <c:v>Februar</c:v>
                  </c:pt>
                  <c:pt idx="12">
                    <c:v>Januar</c:v>
                  </c:pt>
                  <c:pt idx="13">
                    <c:v>Dezember</c:v>
                  </c:pt>
                  <c:pt idx="14">
                    <c:v>November</c:v>
                  </c:pt>
                  <c:pt idx="15">
                    <c:v>Oktober</c:v>
                  </c:pt>
                  <c:pt idx="16">
                    <c:v>September</c:v>
                  </c:pt>
                  <c:pt idx="17">
                    <c:v>August</c:v>
                  </c:pt>
                  <c:pt idx="18">
                    <c:v>Juli</c:v>
                  </c:pt>
                  <c:pt idx="19">
                    <c:v>Juni</c:v>
                  </c:pt>
                  <c:pt idx="20">
                    <c:v>Mai</c:v>
                  </c:pt>
                  <c:pt idx="21">
                    <c:v>April</c:v>
                  </c:pt>
                  <c:pt idx="22">
                    <c:v>März</c:v>
                  </c:pt>
                  <c:pt idx="23">
                    <c:v>Februar</c:v>
                  </c:pt>
                  <c:pt idx="24">
                    <c:v>Januar</c:v>
                  </c:pt>
                </c:lvl>
                <c:lvl>
                  <c:pt idx="4">
                    <c:v> </c:v>
                  </c:pt>
                  <c:pt idx="5">
                    <c:v> </c:v>
                  </c:pt>
                  <c:pt idx="6">
                    <c:v> </c:v>
                  </c:pt>
                  <c:pt idx="7">
                    <c:v> </c:v>
                  </c:pt>
                  <c:pt idx="8">
                    <c:v> </c:v>
                  </c:pt>
                  <c:pt idx="9">
                    <c:v> </c:v>
                  </c:pt>
                  <c:pt idx="10">
                    <c:v> </c:v>
                  </c:pt>
                  <c:pt idx="11">
                    <c:v> </c:v>
                  </c:pt>
                  <c:pt idx="12">
                    <c:v>2024</c:v>
                  </c:pt>
                  <c:pt idx="13">
                    <c:v> </c:v>
                  </c:pt>
                  <c:pt idx="14">
                    <c:v> </c:v>
                  </c:pt>
                  <c:pt idx="15">
                    <c:v> </c:v>
                  </c:pt>
                  <c:pt idx="16">
                    <c:v> </c:v>
                  </c:pt>
                  <c:pt idx="17">
                    <c:v> </c:v>
                  </c:pt>
                  <c:pt idx="18">
                    <c:v> </c:v>
                  </c:pt>
                  <c:pt idx="19">
                    <c:v> </c:v>
                  </c:pt>
                  <c:pt idx="20">
                    <c:v> </c:v>
                  </c:pt>
                  <c:pt idx="21">
                    <c:v> </c:v>
                  </c:pt>
                  <c:pt idx="22">
                    <c:v> </c:v>
                  </c:pt>
                  <c:pt idx="23">
                    <c:v> </c:v>
                  </c:pt>
                  <c:pt idx="24">
                    <c:v>2023</c:v>
                  </c:pt>
                </c:lvl>
              </c:multiLvlStrCache>
            </c:multiLvlStrRef>
          </c:cat>
          <c:val>
            <c:numRef>
              <c:f>Tabelle2!$B$20:$Z$20</c:f>
              <c:numCache>
                <c:formatCode>* #,##0;* \-_ #,##0;\-</c:formatCode>
                <c:ptCount val="25"/>
                <c:pt idx="0">
                  <c:v>1684.5108318890816</c:v>
                </c:pt>
                <c:pt idx="1">
                  <c:v>1449.8704512372635</c:v>
                </c:pt>
                <c:pt idx="2">
                  <c:v>1717.9208509664875</c:v>
                </c:pt>
                <c:pt idx="3">
                  <c:v>1651.8941630706338</c:v>
                </c:pt>
                <c:pt idx="4" formatCode="#,##0">
                  <c:v>1518</c:v>
                </c:pt>
                <c:pt idx="5" formatCode="#,##0">
                  <c:v>1376</c:v>
                </c:pt>
                <c:pt idx="6" formatCode="#,##0">
                  <c:v>1445</c:v>
                </c:pt>
                <c:pt idx="7" formatCode="#,##0">
                  <c:v>1463</c:v>
                </c:pt>
                <c:pt idx="8" formatCode="#,##0">
                  <c:v>1424</c:v>
                </c:pt>
                <c:pt idx="9" formatCode="#,##0">
                  <c:v>1537</c:v>
                </c:pt>
                <c:pt idx="10" formatCode="#,##0">
                  <c:v>1389</c:v>
                </c:pt>
                <c:pt idx="11" formatCode="#,##0">
                  <c:v>1314</c:v>
                </c:pt>
                <c:pt idx="12" formatCode="#,##0">
                  <c:v>1150</c:v>
                </c:pt>
                <c:pt idx="13" formatCode="#,##0">
                  <c:v>1045</c:v>
                </c:pt>
                <c:pt idx="14" formatCode="#,##0">
                  <c:v>1238</c:v>
                </c:pt>
                <c:pt idx="15" formatCode="#,##0">
                  <c:v>1134</c:v>
                </c:pt>
                <c:pt idx="16" formatCode="#,##0">
                  <c:v>1006</c:v>
                </c:pt>
                <c:pt idx="17" formatCode="#,##0">
                  <c:v>840</c:v>
                </c:pt>
                <c:pt idx="18" formatCode="#,##0">
                  <c:v>793</c:v>
                </c:pt>
                <c:pt idx="19" formatCode="#,##0">
                  <c:v>1186</c:v>
                </c:pt>
                <c:pt idx="20" formatCode="#,##0">
                  <c:v>1178</c:v>
                </c:pt>
                <c:pt idx="21" formatCode="#,##0">
                  <c:v>1188</c:v>
                </c:pt>
                <c:pt idx="22" formatCode="#,##0">
                  <c:v>1295</c:v>
                </c:pt>
                <c:pt idx="23" formatCode="#,##0">
                  <c:v>1361</c:v>
                </c:pt>
                <c:pt idx="24" formatCode="#,##0">
                  <c:v>1282</c:v>
                </c:pt>
              </c:numCache>
            </c:numRef>
          </c:val>
          <c:extLst>
            <c:ext xmlns:c16="http://schemas.microsoft.com/office/drawing/2014/chart" uri="{C3380CC4-5D6E-409C-BE32-E72D297353CC}">
              <c16:uniqueId val="{00000003-C4E6-427B-8574-5DD4E3434246}"/>
            </c:ext>
          </c:extLst>
        </c:ser>
        <c:ser>
          <c:idx val="4"/>
          <c:order val="4"/>
          <c:tx>
            <c:strRef>
              <c:f>Tabelle2!$A$21</c:f>
              <c:strCache>
                <c:ptCount val="1"/>
                <c:pt idx="0">
                  <c:v>50-99 Beschäftigte</c:v>
                </c:pt>
              </c:strCache>
            </c:strRef>
          </c:tx>
          <c:spPr>
            <a:solidFill>
              <a:schemeClr val="bg1">
                <a:lumMod val="75000"/>
              </a:schemeClr>
            </a:solidFill>
            <a:ln>
              <a:noFill/>
            </a:ln>
          </c:spPr>
          <c:cat>
            <c:multiLvlStrRef>
              <c:f>Tabelle1!$E$1:$AC$2</c:f>
              <c:multiLvlStrCache>
                <c:ptCount val="25"/>
                <c:lvl>
                  <c:pt idx="0">
                    <c:v>Januar 2025 (HR1)</c:v>
                  </c:pt>
                  <c:pt idx="1">
                    <c:v>Dezember 2024 (HR2)</c:v>
                  </c:pt>
                  <c:pt idx="2">
                    <c:v>November 2024 (HR3)</c:v>
                  </c:pt>
                  <c:pt idx="3">
                    <c:v>Oktober 2024 (HR4)</c:v>
                  </c:pt>
                  <c:pt idx="4">
                    <c:v>September</c:v>
                  </c:pt>
                  <c:pt idx="5">
                    <c:v>August</c:v>
                  </c:pt>
                  <c:pt idx="6">
                    <c:v>Juli</c:v>
                  </c:pt>
                  <c:pt idx="7">
                    <c:v>Juni</c:v>
                  </c:pt>
                  <c:pt idx="8">
                    <c:v>Mai</c:v>
                  </c:pt>
                  <c:pt idx="9">
                    <c:v>April</c:v>
                  </c:pt>
                  <c:pt idx="10">
                    <c:v>März</c:v>
                  </c:pt>
                  <c:pt idx="11">
                    <c:v>Februar</c:v>
                  </c:pt>
                  <c:pt idx="12">
                    <c:v>Januar</c:v>
                  </c:pt>
                  <c:pt idx="13">
                    <c:v>Dezember</c:v>
                  </c:pt>
                  <c:pt idx="14">
                    <c:v>November</c:v>
                  </c:pt>
                  <c:pt idx="15">
                    <c:v>Oktober</c:v>
                  </c:pt>
                  <c:pt idx="16">
                    <c:v>September</c:v>
                  </c:pt>
                  <c:pt idx="17">
                    <c:v>August</c:v>
                  </c:pt>
                  <c:pt idx="18">
                    <c:v>Juli</c:v>
                  </c:pt>
                  <c:pt idx="19">
                    <c:v>Juni</c:v>
                  </c:pt>
                  <c:pt idx="20">
                    <c:v>Mai</c:v>
                  </c:pt>
                  <c:pt idx="21">
                    <c:v>April</c:v>
                  </c:pt>
                  <c:pt idx="22">
                    <c:v>März</c:v>
                  </c:pt>
                  <c:pt idx="23">
                    <c:v>Februar</c:v>
                  </c:pt>
                  <c:pt idx="24">
                    <c:v>Januar</c:v>
                  </c:pt>
                </c:lvl>
                <c:lvl>
                  <c:pt idx="4">
                    <c:v> </c:v>
                  </c:pt>
                  <c:pt idx="5">
                    <c:v> </c:v>
                  </c:pt>
                  <c:pt idx="6">
                    <c:v> </c:v>
                  </c:pt>
                  <c:pt idx="7">
                    <c:v> </c:v>
                  </c:pt>
                  <c:pt idx="8">
                    <c:v> </c:v>
                  </c:pt>
                  <c:pt idx="9">
                    <c:v> </c:v>
                  </c:pt>
                  <c:pt idx="10">
                    <c:v> </c:v>
                  </c:pt>
                  <c:pt idx="11">
                    <c:v> </c:v>
                  </c:pt>
                  <c:pt idx="12">
                    <c:v>2024</c:v>
                  </c:pt>
                  <c:pt idx="13">
                    <c:v> </c:v>
                  </c:pt>
                  <c:pt idx="14">
                    <c:v> </c:v>
                  </c:pt>
                  <c:pt idx="15">
                    <c:v> </c:v>
                  </c:pt>
                  <c:pt idx="16">
                    <c:v> </c:v>
                  </c:pt>
                  <c:pt idx="17">
                    <c:v> </c:v>
                  </c:pt>
                  <c:pt idx="18">
                    <c:v> </c:v>
                  </c:pt>
                  <c:pt idx="19">
                    <c:v> </c:v>
                  </c:pt>
                  <c:pt idx="20">
                    <c:v> </c:v>
                  </c:pt>
                  <c:pt idx="21">
                    <c:v> </c:v>
                  </c:pt>
                  <c:pt idx="22">
                    <c:v> </c:v>
                  </c:pt>
                  <c:pt idx="23">
                    <c:v> </c:v>
                  </c:pt>
                  <c:pt idx="24">
                    <c:v>2023</c:v>
                  </c:pt>
                </c:lvl>
              </c:multiLvlStrCache>
            </c:multiLvlStrRef>
          </c:cat>
          <c:val>
            <c:numRef>
              <c:f>Tabelle2!$B$21:$Z$21</c:f>
              <c:numCache>
                <c:formatCode>* #,##0;* \-_ #,##0;\-</c:formatCode>
                <c:ptCount val="25"/>
                <c:pt idx="0">
                  <c:v>967.06985967053083</c:v>
                </c:pt>
                <c:pt idx="1">
                  <c:v>822.1162461683565</c:v>
                </c:pt>
                <c:pt idx="2">
                  <c:v>983.36494440810998</c:v>
                </c:pt>
                <c:pt idx="3">
                  <c:v>935.79382106844025</c:v>
                </c:pt>
                <c:pt idx="4" formatCode="#,##0">
                  <c:v>815</c:v>
                </c:pt>
                <c:pt idx="5" formatCode="#,##0">
                  <c:v>715</c:v>
                </c:pt>
                <c:pt idx="6" formatCode="#,##0">
                  <c:v>763</c:v>
                </c:pt>
                <c:pt idx="7" formatCode="#,##0">
                  <c:v>782</c:v>
                </c:pt>
                <c:pt idx="8" formatCode="#,##0">
                  <c:v>766</c:v>
                </c:pt>
                <c:pt idx="9" formatCode="#,##0">
                  <c:v>814</c:v>
                </c:pt>
                <c:pt idx="10" formatCode="#,##0">
                  <c:v>798</c:v>
                </c:pt>
                <c:pt idx="11" formatCode="#,##0">
                  <c:v>764</c:v>
                </c:pt>
                <c:pt idx="12" formatCode="#,##0">
                  <c:v>692</c:v>
                </c:pt>
                <c:pt idx="13" formatCode="#,##0">
                  <c:v>595</c:v>
                </c:pt>
                <c:pt idx="14" formatCode="#,##0">
                  <c:v>691</c:v>
                </c:pt>
                <c:pt idx="15" formatCode="#,##0">
                  <c:v>620</c:v>
                </c:pt>
                <c:pt idx="16" formatCode="#,##0">
                  <c:v>562</c:v>
                </c:pt>
                <c:pt idx="17" formatCode="#,##0">
                  <c:v>454</c:v>
                </c:pt>
                <c:pt idx="18" formatCode="#,##0">
                  <c:v>430</c:v>
                </c:pt>
                <c:pt idx="19" formatCode="#,##0">
                  <c:v>642</c:v>
                </c:pt>
                <c:pt idx="20" formatCode="#,##0">
                  <c:v>605</c:v>
                </c:pt>
                <c:pt idx="21" formatCode="#,##0">
                  <c:v>620</c:v>
                </c:pt>
                <c:pt idx="22" formatCode="#,##0">
                  <c:v>649</c:v>
                </c:pt>
                <c:pt idx="23" formatCode="#,##0">
                  <c:v>655</c:v>
                </c:pt>
                <c:pt idx="24" formatCode="#,##0">
                  <c:v>606</c:v>
                </c:pt>
              </c:numCache>
            </c:numRef>
          </c:val>
          <c:extLst>
            <c:ext xmlns:c16="http://schemas.microsoft.com/office/drawing/2014/chart" uri="{C3380CC4-5D6E-409C-BE32-E72D297353CC}">
              <c16:uniqueId val="{00000004-C4E6-427B-8574-5DD4E3434246}"/>
            </c:ext>
          </c:extLst>
        </c:ser>
        <c:ser>
          <c:idx val="5"/>
          <c:order val="5"/>
          <c:tx>
            <c:strRef>
              <c:f>Tabelle2!$A$22</c:f>
              <c:strCache>
                <c:ptCount val="1"/>
                <c:pt idx="0">
                  <c:v>100-199 Beschäftigte</c:v>
                </c:pt>
              </c:strCache>
            </c:strRef>
          </c:tx>
          <c:spPr>
            <a:solidFill>
              <a:srgbClr val="30384D"/>
            </a:solidFill>
            <a:ln>
              <a:noFill/>
            </a:ln>
          </c:spPr>
          <c:cat>
            <c:multiLvlStrRef>
              <c:f>Tabelle1!$E$1:$AC$2</c:f>
              <c:multiLvlStrCache>
                <c:ptCount val="25"/>
                <c:lvl>
                  <c:pt idx="0">
                    <c:v>Januar 2025 (HR1)</c:v>
                  </c:pt>
                  <c:pt idx="1">
                    <c:v>Dezember 2024 (HR2)</c:v>
                  </c:pt>
                  <c:pt idx="2">
                    <c:v>November 2024 (HR3)</c:v>
                  </c:pt>
                  <c:pt idx="3">
                    <c:v>Oktober 2024 (HR4)</c:v>
                  </c:pt>
                  <c:pt idx="4">
                    <c:v>September</c:v>
                  </c:pt>
                  <c:pt idx="5">
                    <c:v>August</c:v>
                  </c:pt>
                  <c:pt idx="6">
                    <c:v>Juli</c:v>
                  </c:pt>
                  <c:pt idx="7">
                    <c:v>Juni</c:v>
                  </c:pt>
                  <c:pt idx="8">
                    <c:v>Mai</c:v>
                  </c:pt>
                  <c:pt idx="9">
                    <c:v>April</c:v>
                  </c:pt>
                  <c:pt idx="10">
                    <c:v>März</c:v>
                  </c:pt>
                  <c:pt idx="11">
                    <c:v>Februar</c:v>
                  </c:pt>
                  <c:pt idx="12">
                    <c:v>Januar</c:v>
                  </c:pt>
                  <c:pt idx="13">
                    <c:v>Dezember</c:v>
                  </c:pt>
                  <c:pt idx="14">
                    <c:v>November</c:v>
                  </c:pt>
                  <c:pt idx="15">
                    <c:v>Oktober</c:v>
                  </c:pt>
                  <c:pt idx="16">
                    <c:v>September</c:v>
                  </c:pt>
                  <c:pt idx="17">
                    <c:v>August</c:v>
                  </c:pt>
                  <c:pt idx="18">
                    <c:v>Juli</c:v>
                  </c:pt>
                  <c:pt idx="19">
                    <c:v>Juni</c:v>
                  </c:pt>
                  <c:pt idx="20">
                    <c:v>Mai</c:v>
                  </c:pt>
                  <c:pt idx="21">
                    <c:v>April</c:v>
                  </c:pt>
                  <c:pt idx="22">
                    <c:v>März</c:v>
                  </c:pt>
                  <c:pt idx="23">
                    <c:v>Februar</c:v>
                  </c:pt>
                  <c:pt idx="24">
                    <c:v>Januar</c:v>
                  </c:pt>
                </c:lvl>
                <c:lvl>
                  <c:pt idx="4">
                    <c:v> </c:v>
                  </c:pt>
                  <c:pt idx="5">
                    <c:v> </c:v>
                  </c:pt>
                  <c:pt idx="6">
                    <c:v> </c:v>
                  </c:pt>
                  <c:pt idx="7">
                    <c:v> </c:v>
                  </c:pt>
                  <c:pt idx="8">
                    <c:v> </c:v>
                  </c:pt>
                  <c:pt idx="9">
                    <c:v> </c:v>
                  </c:pt>
                  <c:pt idx="10">
                    <c:v> </c:v>
                  </c:pt>
                  <c:pt idx="11">
                    <c:v> </c:v>
                  </c:pt>
                  <c:pt idx="12">
                    <c:v>2024</c:v>
                  </c:pt>
                  <c:pt idx="13">
                    <c:v> </c:v>
                  </c:pt>
                  <c:pt idx="14">
                    <c:v> </c:v>
                  </c:pt>
                  <c:pt idx="15">
                    <c:v> </c:v>
                  </c:pt>
                  <c:pt idx="16">
                    <c:v> </c:v>
                  </c:pt>
                  <c:pt idx="17">
                    <c:v> </c:v>
                  </c:pt>
                  <c:pt idx="18">
                    <c:v> </c:v>
                  </c:pt>
                  <c:pt idx="19">
                    <c:v> </c:v>
                  </c:pt>
                  <c:pt idx="20">
                    <c:v> </c:v>
                  </c:pt>
                  <c:pt idx="21">
                    <c:v> </c:v>
                  </c:pt>
                  <c:pt idx="22">
                    <c:v> </c:v>
                  </c:pt>
                  <c:pt idx="23">
                    <c:v> </c:v>
                  </c:pt>
                  <c:pt idx="24">
                    <c:v>2023</c:v>
                  </c:pt>
                </c:lvl>
              </c:multiLvlStrCache>
            </c:multiLvlStrRef>
          </c:cat>
          <c:val>
            <c:numRef>
              <c:f>Tabelle2!$B$22:$Z$22</c:f>
              <c:numCache>
                <c:formatCode>* #,##0;* \-_ #,##0;\-</c:formatCode>
                <c:ptCount val="25"/>
                <c:pt idx="0">
                  <c:v>659.2964824120603</c:v>
                </c:pt>
                <c:pt idx="1">
                  <c:v>583.0594900849859</c:v>
                </c:pt>
                <c:pt idx="2">
                  <c:v>703.00375469336677</c:v>
                </c:pt>
                <c:pt idx="3">
                  <c:v>640.58590173939581</c:v>
                </c:pt>
                <c:pt idx="4" formatCode="#,##0">
                  <c:v>580</c:v>
                </c:pt>
                <c:pt idx="5" formatCode="#,##0">
                  <c:v>493</c:v>
                </c:pt>
                <c:pt idx="6" formatCode="#,##0">
                  <c:v>532</c:v>
                </c:pt>
                <c:pt idx="7" formatCode="#,##0">
                  <c:v>571</c:v>
                </c:pt>
                <c:pt idx="8" formatCode="#,##0">
                  <c:v>519</c:v>
                </c:pt>
                <c:pt idx="9" formatCode="#,##0">
                  <c:v>585</c:v>
                </c:pt>
                <c:pt idx="10" formatCode="#,##0">
                  <c:v>576</c:v>
                </c:pt>
                <c:pt idx="11" formatCode="#,##0">
                  <c:v>565</c:v>
                </c:pt>
                <c:pt idx="12" formatCode="#,##0">
                  <c:v>527</c:v>
                </c:pt>
                <c:pt idx="13" formatCode="#,##0">
                  <c:v>435</c:v>
                </c:pt>
                <c:pt idx="14" formatCode="#,##0">
                  <c:v>503</c:v>
                </c:pt>
                <c:pt idx="15" formatCode="#,##0">
                  <c:v>462</c:v>
                </c:pt>
                <c:pt idx="16" formatCode="#,##0">
                  <c:v>397</c:v>
                </c:pt>
                <c:pt idx="17" formatCode="#,##0">
                  <c:v>315</c:v>
                </c:pt>
                <c:pt idx="18" formatCode="#,##0">
                  <c:v>334</c:v>
                </c:pt>
                <c:pt idx="19" formatCode="#,##0">
                  <c:v>513</c:v>
                </c:pt>
                <c:pt idx="20" formatCode="#,##0">
                  <c:v>497</c:v>
                </c:pt>
                <c:pt idx="21" formatCode="#,##0">
                  <c:v>483</c:v>
                </c:pt>
                <c:pt idx="22" formatCode="#,##0">
                  <c:v>510</c:v>
                </c:pt>
                <c:pt idx="23" formatCode="#,##0">
                  <c:v>487</c:v>
                </c:pt>
                <c:pt idx="24" formatCode="#,##0">
                  <c:v>438</c:v>
                </c:pt>
              </c:numCache>
            </c:numRef>
          </c:val>
          <c:extLst>
            <c:ext xmlns:c16="http://schemas.microsoft.com/office/drawing/2014/chart" uri="{C3380CC4-5D6E-409C-BE32-E72D297353CC}">
              <c16:uniqueId val="{00000005-C4E6-427B-8574-5DD4E3434246}"/>
            </c:ext>
          </c:extLst>
        </c:ser>
        <c:ser>
          <c:idx val="6"/>
          <c:order val="6"/>
          <c:tx>
            <c:strRef>
              <c:f>Tabelle2!$A$23</c:f>
              <c:strCache>
                <c:ptCount val="1"/>
                <c:pt idx="0">
                  <c:v>200-499 Beschäftigte</c:v>
                </c:pt>
              </c:strCache>
            </c:strRef>
          </c:tx>
          <c:spPr>
            <a:solidFill>
              <a:schemeClr val="bg1">
                <a:lumMod val="85000"/>
              </a:schemeClr>
            </a:solidFill>
            <a:ln>
              <a:noFill/>
            </a:ln>
          </c:spPr>
          <c:cat>
            <c:multiLvlStrRef>
              <c:f>Tabelle1!$E$1:$AC$2</c:f>
              <c:multiLvlStrCache>
                <c:ptCount val="25"/>
                <c:lvl>
                  <c:pt idx="0">
                    <c:v>Januar 2025 (HR1)</c:v>
                  </c:pt>
                  <c:pt idx="1">
                    <c:v>Dezember 2024 (HR2)</c:v>
                  </c:pt>
                  <c:pt idx="2">
                    <c:v>November 2024 (HR3)</c:v>
                  </c:pt>
                  <c:pt idx="3">
                    <c:v>Oktober 2024 (HR4)</c:v>
                  </c:pt>
                  <c:pt idx="4">
                    <c:v>September</c:v>
                  </c:pt>
                  <c:pt idx="5">
                    <c:v>August</c:v>
                  </c:pt>
                  <c:pt idx="6">
                    <c:v>Juli</c:v>
                  </c:pt>
                  <c:pt idx="7">
                    <c:v>Juni</c:v>
                  </c:pt>
                  <c:pt idx="8">
                    <c:v>Mai</c:v>
                  </c:pt>
                  <c:pt idx="9">
                    <c:v>April</c:v>
                  </c:pt>
                  <c:pt idx="10">
                    <c:v>März</c:v>
                  </c:pt>
                  <c:pt idx="11">
                    <c:v>Februar</c:v>
                  </c:pt>
                  <c:pt idx="12">
                    <c:v>Januar</c:v>
                  </c:pt>
                  <c:pt idx="13">
                    <c:v>Dezember</c:v>
                  </c:pt>
                  <c:pt idx="14">
                    <c:v>November</c:v>
                  </c:pt>
                  <c:pt idx="15">
                    <c:v>Oktober</c:v>
                  </c:pt>
                  <c:pt idx="16">
                    <c:v>September</c:v>
                  </c:pt>
                  <c:pt idx="17">
                    <c:v>August</c:v>
                  </c:pt>
                  <c:pt idx="18">
                    <c:v>Juli</c:v>
                  </c:pt>
                  <c:pt idx="19">
                    <c:v>Juni</c:v>
                  </c:pt>
                  <c:pt idx="20">
                    <c:v>Mai</c:v>
                  </c:pt>
                  <c:pt idx="21">
                    <c:v>April</c:v>
                  </c:pt>
                  <c:pt idx="22">
                    <c:v>März</c:v>
                  </c:pt>
                  <c:pt idx="23">
                    <c:v>Februar</c:v>
                  </c:pt>
                  <c:pt idx="24">
                    <c:v>Januar</c:v>
                  </c:pt>
                </c:lvl>
                <c:lvl>
                  <c:pt idx="4">
                    <c:v> </c:v>
                  </c:pt>
                  <c:pt idx="5">
                    <c:v> </c:v>
                  </c:pt>
                  <c:pt idx="6">
                    <c:v> </c:v>
                  </c:pt>
                  <c:pt idx="7">
                    <c:v> </c:v>
                  </c:pt>
                  <c:pt idx="8">
                    <c:v> </c:v>
                  </c:pt>
                  <c:pt idx="9">
                    <c:v> </c:v>
                  </c:pt>
                  <c:pt idx="10">
                    <c:v> </c:v>
                  </c:pt>
                  <c:pt idx="11">
                    <c:v> </c:v>
                  </c:pt>
                  <c:pt idx="12">
                    <c:v>2024</c:v>
                  </c:pt>
                  <c:pt idx="13">
                    <c:v> </c:v>
                  </c:pt>
                  <c:pt idx="14">
                    <c:v> </c:v>
                  </c:pt>
                  <c:pt idx="15">
                    <c:v> </c:v>
                  </c:pt>
                  <c:pt idx="16">
                    <c:v> </c:v>
                  </c:pt>
                  <c:pt idx="17">
                    <c:v> </c:v>
                  </c:pt>
                  <c:pt idx="18">
                    <c:v> </c:v>
                  </c:pt>
                  <c:pt idx="19">
                    <c:v> </c:v>
                  </c:pt>
                  <c:pt idx="20">
                    <c:v> </c:v>
                  </c:pt>
                  <c:pt idx="21">
                    <c:v> </c:v>
                  </c:pt>
                  <c:pt idx="22">
                    <c:v> </c:v>
                  </c:pt>
                  <c:pt idx="23">
                    <c:v> </c:v>
                  </c:pt>
                  <c:pt idx="24">
                    <c:v>2023</c:v>
                  </c:pt>
                </c:lvl>
              </c:multiLvlStrCache>
            </c:multiLvlStrRef>
          </c:cat>
          <c:val>
            <c:numRef>
              <c:f>Tabelle2!$B$23:$Z$23</c:f>
              <c:numCache>
                <c:formatCode>* #,##0;* \-_ #,##0;\-</c:formatCode>
                <c:ptCount val="25"/>
                <c:pt idx="0">
                  <c:v>416.28844404003638</c:v>
                </c:pt>
                <c:pt idx="1">
                  <c:v>414.69303797468359</c:v>
                </c:pt>
                <c:pt idx="2">
                  <c:v>486.85911725367811</c:v>
                </c:pt>
                <c:pt idx="3">
                  <c:v>483.15935735996527</c:v>
                </c:pt>
                <c:pt idx="4" formatCode="#,##0">
                  <c:v>420</c:v>
                </c:pt>
                <c:pt idx="5" formatCode="#,##0">
                  <c:v>355</c:v>
                </c:pt>
                <c:pt idx="6" formatCode="#,##0">
                  <c:v>391</c:v>
                </c:pt>
                <c:pt idx="7" formatCode="#,##0">
                  <c:v>382</c:v>
                </c:pt>
                <c:pt idx="8" formatCode="#,##0">
                  <c:v>347</c:v>
                </c:pt>
                <c:pt idx="9" formatCode="#,##0">
                  <c:v>404</c:v>
                </c:pt>
                <c:pt idx="10" formatCode="#,##0">
                  <c:v>400</c:v>
                </c:pt>
                <c:pt idx="11" formatCode="#,##0">
                  <c:v>385</c:v>
                </c:pt>
                <c:pt idx="12" formatCode="#,##0">
                  <c:v>383</c:v>
                </c:pt>
                <c:pt idx="13" formatCode="#,##0">
                  <c:v>311</c:v>
                </c:pt>
                <c:pt idx="14" formatCode="#,##0">
                  <c:v>320</c:v>
                </c:pt>
                <c:pt idx="15" formatCode="#,##0">
                  <c:v>314</c:v>
                </c:pt>
                <c:pt idx="16" formatCode="#,##0">
                  <c:v>264</c:v>
                </c:pt>
                <c:pt idx="17" formatCode="#,##0">
                  <c:v>214</c:v>
                </c:pt>
                <c:pt idx="18" formatCode="#,##0">
                  <c:v>190</c:v>
                </c:pt>
                <c:pt idx="19" formatCode="#,##0">
                  <c:v>330</c:v>
                </c:pt>
                <c:pt idx="20" formatCode="#,##0">
                  <c:v>306</c:v>
                </c:pt>
                <c:pt idx="21" formatCode="#,##0">
                  <c:v>279</c:v>
                </c:pt>
                <c:pt idx="22" formatCode="#,##0">
                  <c:v>314</c:v>
                </c:pt>
                <c:pt idx="23" formatCode="#,##0">
                  <c:v>305</c:v>
                </c:pt>
                <c:pt idx="24" formatCode="#,##0">
                  <c:v>300</c:v>
                </c:pt>
              </c:numCache>
            </c:numRef>
          </c:val>
          <c:extLst>
            <c:ext xmlns:c16="http://schemas.microsoft.com/office/drawing/2014/chart" uri="{C3380CC4-5D6E-409C-BE32-E72D297353CC}">
              <c16:uniqueId val="{00000006-C4E6-427B-8574-5DD4E3434246}"/>
            </c:ext>
          </c:extLst>
        </c:ser>
        <c:ser>
          <c:idx val="9"/>
          <c:order val="7"/>
          <c:tx>
            <c:strRef>
              <c:f>Tabelle2!$A$24</c:f>
              <c:strCache>
                <c:ptCount val="1"/>
                <c:pt idx="0">
                  <c:v>500 und mehr Beschäftigte</c:v>
                </c:pt>
              </c:strCache>
            </c:strRef>
          </c:tx>
          <c:spPr>
            <a:solidFill>
              <a:srgbClr val="0D1429"/>
            </a:solidFill>
            <a:ln>
              <a:noFill/>
            </a:ln>
          </c:spPr>
          <c:cat>
            <c:multiLvlStrRef>
              <c:f>Tabelle1!$E$1:$AC$2</c:f>
              <c:multiLvlStrCache>
                <c:ptCount val="25"/>
                <c:lvl>
                  <c:pt idx="0">
                    <c:v>Januar 2025 (HR1)</c:v>
                  </c:pt>
                  <c:pt idx="1">
                    <c:v>Dezember 2024 (HR2)</c:v>
                  </c:pt>
                  <c:pt idx="2">
                    <c:v>November 2024 (HR3)</c:v>
                  </c:pt>
                  <c:pt idx="3">
                    <c:v>Oktober 2024 (HR4)</c:v>
                  </c:pt>
                  <c:pt idx="4">
                    <c:v>September</c:v>
                  </c:pt>
                  <c:pt idx="5">
                    <c:v>August</c:v>
                  </c:pt>
                  <c:pt idx="6">
                    <c:v>Juli</c:v>
                  </c:pt>
                  <c:pt idx="7">
                    <c:v>Juni</c:v>
                  </c:pt>
                  <c:pt idx="8">
                    <c:v>Mai</c:v>
                  </c:pt>
                  <c:pt idx="9">
                    <c:v>April</c:v>
                  </c:pt>
                  <c:pt idx="10">
                    <c:v>März</c:v>
                  </c:pt>
                  <c:pt idx="11">
                    <c:v>Februar</c:v>
                  </c:pt>
                  <c:pt idx="12">
                    <c:v>Januar</c:v>
                  </c:pt>
                  <c:pt idx="13">
                    <c:v>Dezember</c:v>
                  </c:pt>
                  <c:pt idx="14">
                    <c:v>November</c:v>
                  </c:pt>
                  <c:pt idx="15">
                    <c:v>Oktober</c:v>
                  </c:pt>
                  <c:pt idx="16">
                    <c:v>September</c:v>
                  </c:pt>
                  <c:pt idx="17">
                    <c:v>August</c:v>
                  </c:pt>
                  <c:pt idx="18">
                    <c:v>Juli</c:v>
                  </c:pt>
                  <c:pt idx="19">
                    <c:v>Juni</c:v>
                  </c:pt>
                  <c:pt idx="20">
                    <c:v>Mai</c:v>
                  </c:pt>
                  <c:pt idx="21">
                    <c:v>April</c:v>
                  </c:pt>
                  <c:pt idx="22">
                    <c:v>März</c:v>
                  </c:pt>
                  <c:pt idx="23">
                    <c:v>Februar</c:v>
                  </c:pt>
                  <c:pt idx="24">
                    <c:v>Januar</c:v>
                  </c:pt>
                </c:lvl>
                <c:lvl>
                  <c:pt idx="4">
                    <c:v> </c:v>
                  </c:pt>
                  <c:pt idx="5">
                    <c:v> </c:v>
                  </c:pt>
                  <c:pt idx="6">
                    <c:v> </c:v>
                  </c:pt>
                  <c:pt idx="7">
                    <c:v> </c:v>
                  </c:pt>
                  <c:pt idx="8">
                    <c:v> </c:v>
                  </c:pt>
                  <c:pt idx="9">
                    <c:v> </c:v>
                  </c:pt>
                  <c:pt idx="10">
                    <c:v> </c:v>
                  </c:pt>
                  <c:pt idx="11">
                    <c:v> </c:v>
                  </c:pt>
                  <c:pt idx="12">
                    <c:v>2024</c:v>
                  </c:pt>
                  <c:pt idx="13">
                    <c:v> </c:v>
                  </c:pt>
                  <c:pt idx="14">
                    <c:v> </c:v>
                  </c:pt>
                  <c:pt idx="15">
                    <c:v> </c:v>
                  </c:pt>
                  <c:pt idx="16">
                    <c:v> </c:v>
                  </c:pt>
                  <c:pt idx="17">
                    <c:v> </c:v>
                  </c:pt>
                  <c:pt idx="18">
                    <c:v> </c:v>
                  </c:pt>
                  <c:pt idx="19">
                    <c:v> </c:v>
                  </c:pt>
                  <c:pt idx="20">
                    <c:v> </c:v>
                  </c:pt>
                  <c:pt idx="21">
                    <c:v> </c:v>
                  </c:pt>
                  <c:pt idx="22">
                    <c:v> </c:v>
                  </c:pt>
                  <c:pt idx="23">
                    <c:v> </c:v>
                  </c:pt>
                  <c:pt idx="24">
                    <c:v>2023</c:v>
                  </c:pt>
                </c:lvl>
              </c:multiLvlStrCache>
            </c:multiLvlStrRef>
          </c:cat>
          <c:val>
            <c:numRef>
              <c:f>Tabelle2!$B$24:$Z$24</c:f>
              <c:numCache>
                <c:formatCode>* #,##0;* \-_ #,##0;\-</c:formatCode>
                <c:ptCount val="25"/>
                <c:pt idx="0">
                  <c:v>200.08259587020649</c:v>
                </c:pt>
                <c:pt idx="1">
                  <c:v>219.66141732283464</c:v>
                </c:pt>
                <c:pt idx="2">
                  <c:v>256.77712031558184</c:v>
                </c:pt>
                <c:pt idx="3">
                  <c:v>254.69844179651693</c:v>
                </c:pt>
                <c:pt idx="4" formatCode="#,##0">
                  <c:v>205</c:v>
                </c:pt>
                <c:pt idx="5" formatCode="#,##0">
                  <c:v>152</c:v>
                </c:pt>
                <c:pt idx="6" formatCode="#,##0">
                  <c:v>185</c:v>
                </c:pt>
                <c:pt idx="7" formatCode="#,##0">
                  <c:v>199</c:v>
                </c:pt>
                <c:pt idx="8" formatCode="#,##0">
                  <c:v>169</c:v>
                </c:pt>
                <c:pt idx="9" formatCode="#,##0">
                  <c:v>184</c:v>
                </c:pt>
                <c:pt idx="10" formatCode="#,##0">
                  <c:v>174</c:v>
                </c:pt>
                <c:pt idx="11" formatCode="#,##0">
                  <c:v>159</c:v>
                </c:pt>
                <c:pt idx="12" formatCode="#,##0">
                  <c:v>156</c:v>
                </c:pt>
                <c:pt idx="13" formatCode="#,##0">
                  <c:v>144</c:v>
                </c:pt>
                <c:pt idx="14" formatCode="#,##0">
                  <c:v>161</c:v>
                </c:pt>
                <c:pt idx="15" formatCode="#,##0">
                  <c:v>136</c:v>
                </c:pt>
                <c:pt idx="16" formatCode="#,##0">
                  <c:v>114</c:v>
                </c:pt>
                <c:pt idx="17" formatCode="#,##0">
                  <c:v>82</c:v>
                </c:pt>
                <c:pt idx="18" formatCode="#,##0">
                  <c:v>83</c:v>
                </c:pt>
                <c:pt idx="19" formatCode="#,##0">
                  <c:v>134</c:v>
                </c:pt>
                <c:pt idx="20" formatCode="#,##0">
                  <c:v>129</c:v>
                </c:pt>
                <c:pt idx="21" formatCode="#,##0">
                  <c:v>130</c:v>
                </c:pt>
                <c:pt idx="22" formatCode="#,##0">
                  <c:v>127</c:v>
                </c:pt>
                <c:pt idx="23" formatCode="#,##0">
                  <c:v>124</c:v>
                </c:pt>
                <c:pt idx="24" formatCode="#,##0">
                  <c:v>118</c:v>
                </c:pt>
              </c:numCache>
            </c:numRef>
          </c:val>
          <c:extLst>
            <c:ext xmlns:c16="http://schemas.microsoft.com/office/drawing/2014/chart" uri="{C3380CC4-5D6E-409C-BE32-E72D297353CC}">
              <c16:uniqueId val="{00000007-C4E6-427B-8574-5DD4E3434246}"/>
            </c:ext>
          </c:extLst>
        </c:ser>
        <c:ser>
          <c:idx val="7"/>
          <c:order val="8"/>
          <c:tx>
            <c:strRef>
              <c:f>Tabelle2!$A$26</c:f>
              <c:strCache>
                <c:ptCount val="1"/>
                <c:pt idx="0">
                  <c:v>Keine Zuordnung möglich</c:v>
                </c:pt>
              </c:strCache>
            </c:strRef>
          </c:tx>
          <c:spPr>
            <a:solidFill>
              <a:srgbClr val="DAE2F2"/>
            </a:solidFill>
            <a:ln w="25400">
              <a:noFill/>
            </a:ln>
          </c:spPr>
          <c:cat>
            <c:multiLvlStrRef>
              <c:f>Tabelle1!$E$1:$AC$2</c:f>
              <c:multiLvlStrCache>
                <c:ptCount val="25"/>
                <c:lvl>
                  <c:pt idx="0">
                    <c:v>Januar 2025 (HR1)</c:v>
                  </c:pt>
                  <c:pt idx="1">
                    <c:v>Dezember 2024 (HR2)</c:v>
                  </c:pt>
                  <c:pt idx="2">
                    <c:v>November 2024 (HR3)</c:v>
                  </c:pt>
                  <c:pt idx="3">
                    <c:v>Oktober 2024 (HR4)</c:v>
                  </c:pt>
                  <c:pt idx="4">
                    <c:v>September</c:v>
                  </c:pt>
                  <c:pt idx="5">
                    <c:v>August</c:v>
                  </c:pt>
                  <c:pt idx="6">
                    <c:v>Juli</c:v>
                  </c:pt>
                  <c:pt idx="7">
                    <c:v>Juni</c:v>
                  </c:pt>
                  <c:pt idx="8">
                    <c:v>Mai</c:v>
                  </c:pt>
                  <c:pt idx="9">
                    <c:v>April</c:v>
                  </c:pt>
                  <c:pt idx="10">
                    <c:v>März</c:v>
                  </c:pt>
                  <c:pt idx="11">
                    <c:v>Februar</c:v>
                  </c:pt>
                  <c:pt idx="12">
                    <c:v>Januar</c:v>
                  </c:pt>
                  <c:pt idx="13">
                    <c:v>Dezember</c:v>
                  </c:pt>
                  <c:pt idx="14">
                    <c:v>November</c:v>
                  </c:pt>
                  <c:pt idx="15">
                    <c:v>Oktober</c:v>
                  </c:pt>
                  <c:pt idx="16">
                    <c:v>September</c:v>
                  </c:pt>
                  <c:pt idx="17">
                    <c:v>August</c:v>
                  </c:pt>
                  <c:pt idx="18">
                    <c:v>Juli</c:v>
                  </c:pt>
                  <c:pt idx="19">
                    <c:v>Juni</c:v>
                  </c:pt>
                  <c:pt idx="20">
                    <c:v>Mai</c:v>
                  </c:pt>
                  <c:pt idx="21">
                    <c:v>April</c:v>
                  </c:pt>
                  <c:pt idx="22">
                    <c:v>März</c:v>
                  </c:pt>
                  <c:pt idx="23">
                    <c:v>Februar</c:v>
                  </c:pt>
                  <c:pt idx="24">
                    <c:v>Januar</c:v>
                  </c:pt>
                </c:lvl>
                <c:lvl>
                  <c:pt idx="4">
                    <c:v> </c:v>
                  </c:pt>
                  <c:pt idx="5">
                    <c:v> </c:v>
                  </c:pt>
                  <c:pt idx="6">
                    <c:v> </c:v>
                  </c:pt>
                  <c:pt idx="7">
                    <c:v> </c:v>
                  </c:pt>
                  <c:pt idx="8">
                    <c:v> </c:v>
                  </c:pt>
                  <c:pt idx="9">
                    <c:v> </c:v>
                  </c:pt>
                  <c:pt idx="10">
                    <c:v> </c:v>
                  </c:pt>
                  <c:pt idx="11">
                    <c:v> </c:v>
                  </c:pt>
                  <c:pt idx="12">
                    <c:v>2024</c:v>
                  </c:pt>
                  <c:pt idx="13">
                    <c:v> </c:v>
                  </c:pt>
                  <c:pt idx="14">
                    <c:v> </c:v>
                  </c:pt>
                  <c:pt idx="15">
                    <c:v> </c:v>
                  </c:pt>
                  <c:pt idx="16">
                    <c:v> </c:v>
                  </c:pt>
                  <c:pt idx="17">
                    <c:v> </c:v>
                  </c:pt>
                  <c:pt idx="18">
                    <c:v> </c:v>
                  </c:pt>
                  <c:pt idx="19">
                    <c:v> </c:v>
                  </c:pt>
                  <c:pt idx="20">
                    <c:v> </c:v>
                  </c:pt>
                  <c:pt idx="21">
                    <c:v> </c:v>
                  </c:pt>
                  <c:pt idx="22">
                    <c:v> </c:v>
                  </c:pt>
                  <c:pt idx="23">
                    <c:v> </c:v>
                  </c:pt>
                  <c:pt idx="24">
                    <c:v>2023</c:v>
                  </c:pt>
                </c:lvl>
              </c:multiLvlStrCache>
            </c:multiLvlStrRef>
          </c:cat>
          <c:val>
            <c:numRef>
              <c:f>Tabelle2!$B$26:$Z$26</c:f>
              <c:numCache>
                <c:formatCode>* #,##0;* \-_ #,##0;\-</c:formatCode>
                <c:ptCount val="25"/>
                <c:pt idx="0">
                  <c:v>43.207627118643359</c:v>
                </c:pt>
                <c:pt idx="1">
                  <c:v>37.469912102772469</c:v>
                </c:pt>
                <c:pt idx="2">
                  <c:v>38.8085365853658</c:v>
                </c:pt>
                <c:pt idx="3">
                  <c:v>35.554710144926503</c:v>
                </c:pt>
                <c:pt idx="4">
                  <c:v>39</c:v>
                </c:pt>
                <c:pt idx="5">
                  <c:v>41</c:v>
                </c:pt>
                <c:pt idx="6">
                  <c:v>41</c:v>
                </c:pt>
                <c:pt idx="7">
                  <c:v>37</c:v>
                </c:pt>
                <c:pt idx="8">
                  <c:v>42</c:v>
                </c:pt>
                <c:pt idx="9">
                  <c:v>42</c:v>
                </c:pt>
                <c:pt idx="10">
                  <c:v>43</c:v>
                </c:pt>
                <c:pt idx="11">
                  <c:v>45</c:v>
                </c:pt>
                <c:pt idx="12">
                  <c:v>42</c:v>
                </c:pt>
                <c:pt idx="13">
                  <c:v>30</c:v>
                </c:pt>
                <c:pt idx="14">
                  <c:v>35</c:v>
                </c:pt>
                <c:pt idx="15">
                  <c:v>36</c:v>
                </c:pt>
                <c:pt idx="16">
                  <c:v>29</c:v>
                </c:pt>
                <c:pt idx="17">
                  <c:v>32</c:v>
                </c:pt>
                <c:pt idx="18">
                  <c:v>33</c:v>
                </c:pt>
                <c:pt idx="19">
                  <c:v>37</c:v>
                </c:pt>
                <c:pt idx="20">
                  <c:v>42</c:v>
                </c:pt>
                <c:pt idx="21">
                  <c:v>39</c:v>
                </c:pt>
                <c:pt idx="22">
                  <c:v>42</c:v>
                </c:pt>
                <c:pt idx="23">
                  <c:v>38</c:v>
                </c:pt>
                <c:pt idx="24">
                  <c:v>39</c:v>
                </c:pt>
              </c:numCache>
            </c:numRef>
          </c:val>
          <c:extLst>
            <c:ext xmlns:c16="http://schemas.microsoft.com/office/drawing/2014/chart" uri="{C3380CC4-5D6E-409C-BE32-E72D297353CC}">
              <c16:uniqueId val="{00000008-C4E6-427B-8574-5DD4E3434246}"/>
            </c:ext>
          </c:extLst>
        </c:ser>
        <c:dLbls>
          <c:showLegendKey val="0"/>
          <c:showVal val="0"/>
          <c:showCatName val="0"/>
          <c:showSerName val="0"/>
          <c:showPercent val="0"/>
          <c:showBubbleSize val="0"/>
        </c:dLbls>
        <c:axId val="416369872"/>
        <c:axId val="414780616"/>
      </c:areaChart>
      <c:catAx>
        <c:axId val="416369872"/>
        <c:scaling>
          <c:orientation val="maxMin"/>
        </c:scaling>
        <c:delete val="0"/>
        <c:axPos val="b"/>
        <c:numFmt formatCode="mmmm\ " sourceLinked="0"/>
        <c:majorTickMark val="out"/>
        <c:minorTickMark val="none"/>
        <c:tickLblPos val="nextTo"/>
        <c:txPr>
          <a:bodyPr rot="0" vert="horz"/>
          <a:lstStyle/>
          <a:p>
            <a:pPr>
              <a:defRPr sz="700" b="0" i="0" u="none" strike="noStrike" baseline="0">
                <a:solidFill>
                  <a:srgbClr val="000000"/>
                </a:solidFill>
                <a:latin typeface="Arial"/>
                <a:ea typeface="Arial"/>
                <a:cs typeface="Arial"/>
              </a:defRPr>
            </a:pPr>
            <a:endParaRPr lang="de-DE"/>
          </a:p>
        </c:txPr>
        <c:crossAx val="414780616"/>
        <c:crosses val="autoZero"/>
        <c:auto val="1"/>
        <c:lblAlgn val="ctr"/>
        <c:lblOffset val="100"/>
        <c:tickLblSkip val="4"/>
        <c:tickMarkSkip val="1"/>
        <c:noMultiLvlLbl val="1"/>
      </c:catAx>
      <c:valAx>
        <c:axId val="414780616"/>
        <c:scaling>
          <c:orientation val="minMax"/>
        </c:scaling>
        <c:delete val="0"/>
        <c:axPos val="r"/>
        <c:majorGridlines/>
        <c:numFmt formatCode="#,##0" sourceLinked="0"/>
        <c:majorTickMark val="out"/>
        <c:minorTickMark val="none"/>
        <c:tickLblPos val="high"/>
        <c:spPr>
          <a:ln>
            <a:noFill/>
          </a:ln>
        </c:spPr>
        <c:txPr>
          <a:bodyPr rot="0" vert="horz"/>
          <a:lstStyle/>
          <a:p>
            <a:pPr>
              <a:defRPr sz="800" b="0" i="0" u="none" strike="noStrike" baseline="0">
                <a:solidFill>
                  <a:srgbClr val="000000"/>
                </a:solidFill>
                <a:latin typeface="Arial"/>
                <a:ea typeface="Arial"/>
                <a:cs typeface="Arial"/>
              </a:defRPr>
            </a:pPr>
            <a:endParaRPr lang="de-DE"/>
          </a:p>
        </c:txPr>
        <c:crossAx val="416369872"/>
        <c:crosses val="autoZero"/>
        <c:crossBetween val="between"/>
      </c:valAx>
    </c:plotArea>
    <c:legend>
      <c:legendPos val="r"/>
      <c:layout>
        <c:manualLayout>
          <c:xMode val="edge"/>
          <c:yMode val="edge"/>
          <c:x val="0.77939042089985489"/>
          <c:y val="0.21568686267157783"/>
          <c:w val="0.19596250033332191"/>
          <c:h val="0.4750506186726659"/>
        </c:manualLayout>
      </c:layout>
      <c:overlay val="0"/>
      <c:txPr>
        <a:bodyPr/>
        <a:lstStyle/>
        <a:p>
          <a:pPr>
            <a:defRPr sz="735" b="0" i="0" u="none" strike="noStrike" baseline="0">
              <a:solidFill>
                <a:srgbClr val="000000"/>
              </a:solidFill>
              <a:latin typeface="Arial"/>
              <a:ea typeface="Arial"/>
              <a:cs typeface="Arial"/>
            </a:defRPr>
          </a:pPr>
          <a:endParaRPr lang="de-DE"/>
        </a:p>
      </c:txPr>
    </c:legend>
    <c:plotVisOnly val="1"/>
    <c:dispBlanksAs val="zero"/>
    <c:showDLblsOverMax val="0"/>
  </c:chart>
  <c:txPr>
    <a:bodyPr/>
    <a:lstStyle/>
    <a:p>
      <a:pPr>
        <a:defRPr sz="800" b="0" i="0" u="none" strike="noStrike" baseline="0">
          <a:solidFill>
            <a:srgbClr val="000000"/>
          </a:solidFill>
          <a:latin typeface="Arial"/>
          <a:ea typeface="Arial"/>
          <a:cs typeface="Arial"/>
        </a:defRPr>
      </a:pPr>
      <a:endParaRPr lang="de-DE"/>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Tabelle1!$B$1</c:f>
              <c:strCache>
                <c:ptCount val="1"/>
                <c:pt idx="0">
                  <c:v>Datenreihe 1</c:v>
                </c:pt>
              </c:strCache>
            </c:strRef>
          </c:tx>
          <c:spPr>
            <a:solidFill>
              <a:srgbClr val="1E2445"/>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de-D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Tabelle1!$A$2:$A$8</c:f>
              <c:strCache>
                <c:ptCount val="7"/>
                <c:pt idx="0">
                  <c:v>Europa</c:v>
                </c:pt>
                <c:pt idx="1">
                  <c:v>USA</c:v>
                </c:pt>
                <c:pt idx="2">
                  <c:v>Mexiko</c:v>
                </c:pt>
                <c:pt idx="3">
                  <c:v>China</c:v>
                </c:pt>
                <c:pt idx="4">
                  <c:v>Japan</c:v>
                </c:pt>
                <c:pt idx="5">
                  <c:v>Indien</c:v>
                </c:pt>
                <c:pt idx="6">
                  <c:v>Brasilien</c:v>
                </c:pt>
              </c:strCache>
            </c:strRef>
          </c:cat>
          <c:val>
            <c:numRef>
              <c:f>Tabelle1!$B$2:$B$8</c:f>
              <c:numCache>
                <c:formatCode>0%</c:formatCode>
                <c:ptCount val="7"/>
                <c:pt idx="0">
                  <c:v>0.01</c:v>
                </c:pt>
                <c:pt idx="1">
                  <c:v>0.02</c:v>
                </c:pt>
                <c:pt idx="2">
                  <c:v>0.1</c:v>
                </c:pt>
                <c:pt idx="3">
                  <c:v>0.06</c:v>
                </c:pt>
                <c:pt idx="4">
                  <c:v>-7.0000000000000007E-2</c:v>
                </c:pt>
                <c:pt idx="5">
                  <c:v>0.04</c:v>
                </c:pt>
                <c:pt idx="6">
                  <c:v>0.14000000000000001</c:v>
                </c:pt>
              </c:numCache>
            </c:numRef>
          </c:val>
          <c:extLst>
            <c:ext xmlns:c16="http://schemas.microsoft.com/office/drawing/2014/chart" uri="{C3380CC4-5D6E-409C-BE32-E72D297353CC}">
              <c16:uniqueId val="{00000000-EC55-4025-AA40-866D5E24E4B7}"/>
            </c:ext>
          </c:extLst>
        </c:ser>
        <c:dLbls>
          <c:showLegendKey val="0"/>
          <c:showVal val="0"/>
          <c:showCatName val="0"/>
          <c:showSerName val="0"/>
          <c:showPercent val="0"/>
          <c:showBubbleSize val="0"/>
        </c:dLbls>
        <c:gapWidth val="100"/>
        <c:axId val="185215023"/>
        <c:axId val="185215503"/>
      </c:barChart>
      <c:catAx>
        <c:axId val="185215023"/>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de-DE"/>
          </a:p>
        </c:txPr>
        <c:crossAx val="185215503"/>
        <c:crosses val="autoZero"/>
        <c:auto val="1"/>
        <c:lblAlgn val="ctr"/>
        <c:lblOffset val="100"/>
        <c:noMultiLvlLbl val="0"/>
      </c:catAx>
      <c:valAx>
        <c:axId val="18521550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de-DE"/>
          </a:p>
        </c:txPr>
        <c:crossAx val="18521502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de-D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Tabelle1!$B$1</c:f>
              <c:strCache>
                <c:ptCount val="1"/>
                <c:pt idx="0">
                  <c:v>Datenreihe 1</c:v>
                </c:pt>
              </c:strCache>
            </c:strRef>
          </c:tx>
          <c:spPr>
            <a:solidFill>
              <a:srgbClr val="1E2445"/>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de-D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Tabelle1!$A$2:$A$10</c:f>
              <c:strCache>
                <c:ptCount val="9"/>
                <c:pt idx="0">
                  <c:v>2016</c:v>
                </c:pt>
                <c:pt idx="1">
                  <c:v>2017</c:v>
                </c:pt>
                <c:pt idx="2">
                  <c:v>2018</c:v>
                </c:pt>
                <c:pt idx="3">
                  <c:v>2019</c:v>
                </c:pt>
                <c:pt idx="4">
                  <c:v>2020</c:v>
                </c:pt>
                <c:pt idx="5">
                  <c:v>2021</c:v>
                </c:pt>
                <c:pt idx="6">
                  <c:v>2022</c:v>
                </c:pt>
                <c:pt idx="7">
                  <c:v>2023</c:v>
                </c:pt>
                <c:pt idx="8">
                  <c:v>2024*</c:v>
                </c:pt>
              </c:strCache>
            </c:strRef>
          </c:cat>
          <c:val>
            <c:numRef>
              <c:f>Tabelle1!$B$2:$B$10</c:f>
              <c:numCache>
                <c:formatCode>0%</c:formatCode>
                <c:ptCount val="9"/>
                <c:pt idx="0">
                  <c:v>0</c:v>
                </c:pt>
                <c:pt idx="1">
                  <c:v>0.04</c:v>
                </c:pt>
                <c:pt idx="2">
                  <c:v>0.02</c:v>
                </c:pt>
                <c:pt idx="3">
                  <c:v>-0.03</c:v>
                </c:pt>
                <c:pt idx="4">
                  <c:v>-0.12</c:v>
                </c:pt>
                <c:pt idx="5">
                  <c:v>7.0000000000000007E-2</c:v>
                </c:pt>
                <c:pt idx="6">
                  <c:v>0</c:v>
                </c:pt>
                <c:pt idx="7">
                  <c:v>-0.01</c:v>
                </c:pt>
                <c:pt idx="8">
                  <c:v>-0.08</c:v>
                </c:pt>
              </c:numCache>
            </c:numRef>
          </c:val>
          <c:extLst>
            <c:ext xmlns:c16="http://schemas.microsoft.com/office/drawing/2014/chart" uri="{C3380CC4-5D6E-409C-BE32-E72D297353CC}">
              <c16:uniqueId val="{00000000-98AD-484E-88B7-177C29ABE3A1}"/>
            </c:ext>
          </c:extLst>
        </c:ser>
        <c:dLbls>
          <c:showLegendKey val="0"/>
          <c:showVal val="0"/>
          <c:showCatName val="0"/>
          <c:showSerName val="0"/>
          <c:showPercent val="0"/>
          <c:showBubbleSize val="0"/>
        </c:dLbls>
        <c:gapWidth val="100"/>
        <c:axId val="185215023"/>
        <c:axId val="185215503"/>
      </c:barChart>
      <c:catAx>
        <c:axId val="185215023"/>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de-DE"/>
          </a:p>
        </c:txPr>
        <c:crossAx val="185215503"/>
        <c:crosses val="autoZero"/>
        <c:auto val="1"/>
        <c:lblAlgn val="ctr"/>
        <c:lblOffset val="100"/>
        <c:noMultiLvlLbl val="0"/>
      </c:catAx>
      <c:valAx>
        <c:axId val="18521550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de-DE"/>
          </a:p>
        </c:txPr>
        <c:crossAx val="18521502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de-DE"/>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Tabelle1!$B$1</c:f>
              <c:strCache>
                <c:ptCount val="1"/>
                <c:pt idx="0">
                  <c:v>Datenreihe 1</c:v>
                </c:pt>
              </c:strCache>
            </c:strRef>
          </c:tx>
          <c:spPr>
            <a:ln w="28575" cap="rnd">
              <a:solidFill>
                <a:srgbClr val="1E2445"/>
              </a:solidFill>
              <a:round/>
            </a:ln>
            <a:effectLst/>
          </c:spPr>
          <c:marker>
            <c:symbol val="none"/>
          </c:marker>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de-DE"/>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Tabelle1!$A$2:$A$10</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Tabelle1!$B$2:$B$10</c:f>
              <c:numCache>
                <c:formatCode>General</c:formatCode>
                <c:ptCount val="9"/>
                <c:pt idx="0">
                  <c:v>105.7</c:v>
                </c:pt>
                <c:pt idx="1">
                  <c:v>113.8</c:v>
                </c:pt>
                <c:pt idx="2">
                  <c:v>116.2</c:v>
                </c:pt>
                <c:pt idx="3">
                  <c:v>108.2</c:v>
                </c:pt>
                <c:pt idx="4">
                  <c:v>91.5</c:v>
                </c:pt>
                <c:pt idx="5">
                  <c:v>100</c:v>
                </c:pt>
                <c:pt idx="6">
                  <c:v>103</c:v>
                </c:pt>
                <c:pt idx="7">
                  <c:v>98.2</c:v>
                </c:pt>
                <c:pt idx="8">
                  <c:v>90.3</c:v>
                </c:pt>
              </c:numCache>
            </c:numRef>
          </c:val>
          <c:smooth val="0"/>
          <c:extLst>
            <c:ext xmlns:c16="http://schemas.microsoft.com/office/drawing/2014/chart" uri="{C3380CC4-5D6E-409C-BE32-E72D297353CC}">
              <c16:uniqueId val="{00000000-1428-4B45-9DE4-16E401076040}"/>
            </c:ext>
          </c:extLst>
        </c:ser>
        <c:dLbls>
          <c:showLegendKey val="0"/>
          <c:showVal val="0"/>
          <c:showCatName val="0"/>
          <c:showSerName val="0"/>
          <c:showPercent val="0"/>
          <c:showBubbleSize val="0"/>
        </c:dLbls>
        <c:smooth val="0"/>
        <c:axId val="192731647"/>
        <c:axId val="192730687"/>
      </c:lineChart>
      <c:catAx>
        <c:axId val="1927316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de-DE"/>
          </a:p>
        </c:txPr>
        <c:crossAx val="192730687"/>
        <c:crosses val="autoZero"/>
        <c:auto val="1"/>
        <c:lblAlgn val="ctr"/>
        <c:lblOffset val="100"/>
        <c:noMultiLvlLbl val="0"/>
      </c:catAx>
      <c:valAx>
        <c:axId val="192730687"/>
        <c:scaling>
          <c:orientation val="minMax"/>
          <c:min val="6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de-DE"/>
          </a:p>
        </c:txPr>
        <c:crossAx val="19273164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Arial" panose="020B0604020202020204" pitchFamily="34" charset="0"/>
          <a:cs typeface="Arial" panose="020B0604020202020204" pitchFamily="34" charset="0"/>
        </a:defRPr>
      </a:pPr>
      <a:endParaRPr lang="de-DE"/>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1666675768955934E-2"/>
          <c:y val="1.3266342714712063E-2"/>
          <c:w val="0.9302083333333333"/>
          <c:h val="0.85173903262092243"/>
        </c:manualLayout>
      </c:layout>
      <c:lineChart>
        <c:grouping val="standard"/>
        <c:varyColors val="0"/>
        <c:ser>
          <c:idx val="0"/>
          <c:order val="0"/>
          <c:tx>
            <c:strRef>
              <c:f>Rohdaten!$C$1</c:f>
              <c:strCache>
                <c:ptCount val="1"/>
                <c:pt idx="0">
                  <c:v>Gesenkschmieden</c:v>
                </c:pt>
              </c:strCache>
            </c:strRef>
          </c:tx>
          <c:spPr>
            <a:ln w="28575" cap="rnd">
              <a:solidFill>
                <a:srgbClr val="1E2445"/>
              </a:solidFill>
              <a:round/>
            </a:ln>
            <a:effectLst/>
          </c:spPr>
          <c:marker>
            <c:symbol val="none"/>
          </c:marker>
          <c:dPt>
            <c:idx val="45"/>
            <c:marker>
              <c:symbol val="none"/>
            </c:marker>
            <c:bubble3D val="0"/>
            <c:extLst>
              <c:ext xmlns:c16="http://schemas.microsoft.com/office/drawing/2014/chart" uri="{C3380CC4-5D6E-409C-BE32-E72D297353CC}">
                <c16:uniqueId val="{00000000-24D1-4278-BC67-90D2089DD7F4}"/>
              </c:ext>
            </c:extLst>
          </c:dPt>
          <c:dLbls>
            <c:dLbl>
              <c:idx val="31"/>
              <c:layout>
                <c:manualLayout>
                  <c:x val="0"/>
                  <c:y val="-0.1078439816628838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4D1-4278-BC67-90D2089DD7F4}"/>
                </c:ext>
              </c:extLst>
            </c:dLbl>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de-DE"/>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Rohdaten!$A$3:$B$34</c:f>
              <c:multiLvlStrCache>
                <c:ptCount val="32"/>
                <c:lvl>
                  <c:pt idx="0">
                    <c:v>Jan</c:v>
                  </c:pt>
                  <c:pt idx="1">
                    <c:v>Apr</c:v>
                  </c:pt>
                  <c:pt idx="2">
                    <c:v>Juli</c:v>
                  </c:pt>
                  <c:pt idx="3">
                    <c:v>Okt</c:v>
                  </c:pt>
                  <c:pt idx="4">
                    <c:v>Jan</c:v>
                  </c:pt>
                  <c:pt idx="5">
                    <c:v>Apr</c:v>
                  </c:pt>
                  <c:pt idx="6">
                    <c:v>Juli</c:v>
                  </c:pt>
                  <c:pt idx="7">
                    <c:v>Okt</c:v>
                  </c:pt>
                  <c:pt idx="8">
                    <c:v>Jan</c:v>
                  </c:pt>
                  <c:pt idx="9">
                    <c:v>Apr</c:v>
                  </c:pt>
                  <c:pt idx="10">
                    <c:v>Juli</c:v>
                  </c:pt>
                  <c:pt idx="11">
                    <c:v>Okt</c:v>
                  </c:pt>
                  <c:pt idx="12">
                    <c:v>Jan</c:v>
                  </c:pt>
                  <c:pt idx="13">
                    <c:v>Apr</c:v>
                  </c:pt>
                  <c:pt idx="14">
                    <c:v>Juli</c:v>
                  </c:pt>
                  <c:pt idx="15">
                    <c:v>Okt</c:v>
                  </c:pt>
                  <c:pt idx="16">
                    <c:v>Jan</c:v>
                  </c:pt>
                  <c:pt idx="17">
                    <c:v>Apr</c:v>
                  </c:pt>
                  <c:pt idx="18">
                    <c:v>Juli</c:v>
                  </c:pt>
                  <c:pt idx="19">
                    <c:v>Okt</c:v>
                  </c:pt>
                  <c:pt idx="20">
                    <c:v>Jan</c:v>
                  </c:pt>
                  <c:pt idx="21">
                    <c:v>Apr</c:v>
                  </c:pt>
                  <c:pt idx="22">
                    <c:v>Juli</c:v>
                  </c:pt>
                  <c:pt idx="23">
                    <c:v>Okt</c:v>
                  </c:pt>
                  <c:pt idx="24">
                    <c:v>Jan</c:v>
                  </c:pt>
                  <c:pt idx="25">
                    <c:v>Apr</c:v>
                  </c:pt>
                  <c:pt idx="26">
                    <c:v>Juli</c:v>
                  </c:pt>
                  <c:pt idx="27">
                    <c:v>Okt</c:v>
                  </c:pt>
                  <c:pt idx="28">
                    <c:v>Jan</c:v>
                  </c:pt>
                  <c:pt idx="29">
                    <c:v>Apr</c:v>
                  </c:pt>
                  <c:pt idx="30">
                    <c:v>Juli</c:v>
                  </c:pt>
                  <c:pt idx="31">
                    <c:v>Okt</c:v>
                  </c:pt>
                </c:lvl>
                <c:lvl>
                  <c:pt idx="0">
                    <c:v>2017</c:v>
                  </c:pt>
                  <c:pt idx="4">
                    <c:v>2018</c:v>
                  </c:pt>
                  <c:pt idx="8">
                    <c:v>2019</c:v>
                  </c:pt>
                  <c:pt idx="12">
                    <c:v>2020</c:v>
                  </c:pt>
                  <c:pt idx="16">
                    <c:v>2021</c:v>
                  </c:pt>
                  <c:pt idx="20">
                    <c:v>2022</c:v>
                  </c:pt>
                  <c:pt idx="24">
                    <c:v>2023</c:v>
                  </c:pt>
                  <c:pt idx="28">
                    <c:v>2024</c:v>
                  </c:pt>
                </c:lvl>
              </c:multiLvlStrCache>
            </c:multiLvlStrRef>
          </c:cat>
          <c:val>
            <c:numRef>
              <c:f>Rohdaten!$D$3:$D$34</c:f>
              <c:numCache>
                <c:formatCode>0.0</c:formatCode>
                <c:ptCount val="32"/>
                <c:pt idx="0">
                  <c:v>4.5</c:v>
                </c:pt>
                <c:pt idx="1">
                  <c:v>3.2</c:v>
                </c:pt>
                <c:pt idx="2">
                  <c:v>3.9</c:v>
                </c:pt>
                <c:pt idx="3">
                  <c:v>3.1</c:v>
                </c:pt>
                <c:pt idx="4">
                  <c:v>3.7</c:v>
                </c:pt>
                <c:pt idx="5">
                  <c:v>5.5</c:v>
                </c:pt>
                <c:pt idx="6">
                  <c:v>4.3</c:v>
                </c:pt>
                <c:pt idx="7">
                  <c:v>4</c:v>
                </c:pt>
                <c:pt idx="8">
                  <c:v>4.3</c:v>
                </c:pt>
                <c:pt idx="9">
                  <c:v>6.3</c:v>
                </c:pt>
                <c:pt idx="10">
                  <c:v>2.1</c:v>
                </c:pt>
                <c:pt idx="11">
                  <c:v>2.2000000000000002</c:v>
                </c:pt>
                <c:pt idx="12">
                  <c:v>3.2</c:v>
                </c:pt>
                <c:pt idx="13">
                  <c:v>3.5</c:v>
                </c:pt>
                <c:pt idx="14">
                  <c:v>3.8</c:v>
                </c:pt>
                <c:pt idx="15">
                  <c:v>3.7</c:v>
                </c:pt>
                <c:pt idx="16">
                  <c:v>3.5</c:v>
                </c:pt>
                <c:pt idx="17">
                  <c:v>3.7</c:v>
                </c:pt>
                <c:pt idx="18">
                  <c:v>5.2</c:v>
                </c:pt>
                <c:pt idx="19">
                  <c:v>2.2000000000000002</c:v>
                </c:pt>
                <c:pt idx="20">
                  <c:v>3.3</c:v>
                </c:pt>
                <c:pt idx="21">
                  <c:v>4.0999999999999996</c:v>
                </c:pt>
                <c:pt idx="22">
                  <c:v>2.8</c:v>
                </c:pt>
                <c:pt idx="23">
                  <c:v>3.3</c:v>
                </c:pt>
                <c:pt idx="24">
                  <c:v>4.4000000000000004</c:v>
                </c:pt>
                <c:pt idx="25">
                  <c:v>6.3</c:v>
                </c:pt>
                <c:pt idx="26">
                  <c:v>5.4</c:v>
                </c:pt>
                <c:pt idx="27">
                  <c:v>2.8</c:v>
                </c:pt>
                <c:pt idx="28">
                  <c:v>4.3</c:v>
                </c:pt>
                <c:pt idx="29">
                  <c:v>4.4000000000000004</c:v>
                </c:pt>
                <c:pt idx="30">
                  <c:v>4</c:v>
                </c:pt>
                <c:pt idx="31" formatCode="General">
                  <c:v>2.8</c:v>
                </c:pt>
              </c:numCache>
            </c:numRef>
          </c:val>
          <c:smooth val="1"/>
          <c:extLst>
            <c:ext xmlns:c16="http://schemas.microsoft.com/office/drawing/2014/chart" uri="{C3380CC4-5D6E-409C-BE32-E72D297353CC}">
              <c16:uniqueId val="{00000002-24D1-4278-BC67-90D2089DD7F4}"/>
            </c:ext>
          </c:extLst>
        </c:ser>
        <c:ser>
          <c:idx val="1"/>
          <c:order val="1"/>
          <c:tx>
            <c:strRef>
              <c:f>Rohdaten!$E$1</c:f>
              <c:strCache>
                <c:ptCount val="1"/>
                <c:pt idx="0">
                  <c:v>Freiformschmieden</c:v>
                </c:pt>
              </c:strCache>
            </c:strRef>
          </c:tx>
          <c:spPr>
            <a:ln w="28575" cap="rnd">
              <a:solidFill>
                <a:schemeClr val="bg1">
                  <a:lumMod val="65000"/>
                </a:schemeClr>
              </a:solidFill>
              <a:round/>
            </a:ln>
            <a:effectLst/>
          </c:spPr>
          <c:marker>
            <c:symbol val="none"/>
          </c:marker>
          <c:dLbls>
            <c:dLbl>
              <c:idx val="31"/>
              <c:layout>
                <c:manualLayout>
                  <c:x val="0"/>
                  <c:y val="6.16251323787907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4D1-4278-BC67-90D2089DD7F4}"/>
                </c:ext>
              </c:extLst>
            </c:dLbl>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de-DE"/>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Rohdaten!$A$3:$B$34</c:f>
              <c:multiLvlStrCache>
                <c:ptCount val="32"/>
                <c:lvl>
                  <c:pt idx="0">
                    <c:v>Jan</c:v>
                  </c:pt>
                  <c:pt idx="1">
                    <c:v>Apr</c:v>
                  </c:pt>
                  <c:pt idx="2">
                    <c:v>Juli</c:v>
                  </c:pt>
                  <c:pt idx="3">
                    <c:v>Okt</c:v>
                  </c:pt>
                  <c:pt idx="4">
                    <c:v>Jan</c:v>
                  </c:pt>
                  <c:pt idx="5">
                    <c:v>Apr</c:v>
                  </c:pt>
                  <c:pt idx="6">
                    <c:v>Juli</c:v>
                  </c:pt>
                  <c:pt idx="7">
                    <c:v>Okt</c:v>
                  </c:pt>
                  <c:pt idx="8">
                    <c:v>Jan</c:v>
                  </c:pt>
                  <c:pt idx="9">
                    <c:v>Apr</c:v>
                  </c:pt>
                  <c:pt idx="10">
                    <c:v>Juli</c:v>
                  </c:pt>
                  <c:pt idx="11">
                    <c:v>Okt</c:v>
                  </c:pt>
                  <c:pt idx="12">
                    <c:v>Jan</c:v>
                  </c:pt>
                  <c:pt idx="13">
                    <c:v>Apr</c:v>
                  </c:pt>
                  <c:pt idx="14">
                    <c:v>Juli</c:v>
                  </c:pt>
                  <c:pt idx="15">
                    <c:v>Okt</c:v>
                  </c:pt>
                  <c:pt idx="16">
                    <c:v>Jan</c:v>
                  </c:pt>
                  <c:pt idx="17">
                    <c:v>Apr</c:v>
                  </c:pt>
                  <c:pt idx="18">
                    <c:v>Juli</c:v>
                  </c:pt>
                  <c:pt idx="19">
                    <c:v>Okt</c:v>
                  </c:pt>
                  <c:pt idx="20">
                    <c:v>Jan</c:v>
                  </c:pt>
                  <c:pt idx="21">
                    <c:v>Apr</c:v>
                  </c:pt>
                  <c:pt idx="22">
                    <c:v>Juli</c:v>
                  </c:pt>
                  <c:pt idx="23">
                    <c:v>Okt</c:v>
                  </c:pt>
                  <c:pt idx="24">
                    <c:v>Jan</c:v>
                  </c:pt>
                  <c:pt idx="25">
                    <c:v>Apr</c:v>
                  </c:pt>
                  <c:pt idx="26">
                    <c:v>Juli</c:v>
                  </c:pt>
                  <c:pt idx="27">
                    <c:v>Okt</c:v>
                  </c:pt>
                  <c:pt idx="28">
                    <c:v>Jan</c:v>
                  </c:pt>
                  <c:pt idx="29">
                    <c:v>Apr</c:v>
                  </c:pt>
                  <c:pt idx="30">
                    <c:v>Juli</c:v>
                  </c:pt>
                  <c:pt idx="31">
                    <c:v>Okt</c:v>
                  </c:pt>
                </c:lvl>
                <c:lvl>
                  <c:pt idx="0">
                    <c:v>2017</c:v>
                  </c:pt>
                  <c:pt idx="4">
                    <c:v>2018</c:v>
                  </c:pt>
                  <c:pt idx="8">
                    <c:v>2019</c:v>
                  </c:pt>
                  <c:pt idx="12">
                    <c:v>2020</c:v>
                  </c:pt>
                  <c:pt idx="16">
                    <c:v>2021</c:v>
                  </c:pt>
                  <c:pt idx="20">
                    <c:v>2022</c:v>
                  </c:pt>
                  <c:pt idx="24">
                    <c:v>2023</c:v>
                  </c:pt>
                  <c:pt idx="28">
                    <c:v>2024</c:v>
                  </c:pt>
                </c:lvl>
              </c:multiLvlStrCache>
            </c:multiLvlStrRef>
          </c:cat>
          <c:val>
            <c:numRef>
              <c:f>Rohdaten!$F$3:$F$34</c:f>
              <c:numCache>
                <c:formatCode>0.0</c:formatCode>
                <c:ptCount val="32"/>
                <c:pt idx="0">
                  <c:v>1.2</c:v>
                </c:pt>
                <c:pt idx="1">
                  <c:v>1.7</c:v>
                </c:pt>
                <c:pt idx="2">
                  <c:v>1.5</c:v>
                </c:pt>
                <c:pt idx="3">
                  <c:v>1.6</c:v>
                </c:pt>
                <c:pt idx="4">
                  <c:v>2.2000000000000002</c:v>
                </c:pt>
                <c:pt idx="5">
                  <c:v>2.6</c:v>
                </c:pt>
                <c:pt idx="6">
                  <c:v>2</c:v>
                </c:pt>
                <c:pt idx="7">
                  <c:v>2.1</c:v>
                </c:pt>
                <c:pt idx="8">
                  <c:v>1.7</c:v>
                </c:pt>
                <c:pt idx="9">
                  <c:v>2.1</c:v>
                </c:pt>
                <c:pt idx="10">
                  <c:v>1.6</c:v>
                </c:pt>
                <c:pt idx="11">
                  <c:v>2.2000000000000002</c:v>
                </c:pt>
                <c:pt idx="12">
                  <c:v>1.7</c:v>
                </c:pt>
                <c:pt idx="13">
                  <c:v>2</c:v>
                </c:pt>
                <c:pt idx="14">
                  <c:v>1.6</c:v>
                </c:pt>
                <c:pt idx="15">
                  <c:v>1.4</c:v>
                </c:pt>
                <c:pt idx="16">
                  <c:v>1.3</c:v>
                </c:pt>
                <c:pt idx="17">
                  <c:v>2</c:v>
                </c:pt>
                <c:pt idx="18">
                  <c:v>2.2000000000000002</c:v>
                </c:pt>
                <c:pt idx="19">
                  <c:v>3</c:v>
                </c:pt>
                <c:pt idx="20">
                  <c:v>4.5999999999999996</c:v>
                </c:pt>
                <c:pt idx="21">
                  <c:v>3.6</c:v>
                </c:pt>
                <c:pt idx="22">
                  <c:v>3</c:v>
                </c:pt>
                <c:pt idx="23">
                  <c:v>2</c:v>
                </c:pt>
                <c:pt idx="24">
                  <c:v>2.5</c:v>
                </c:pt>
                <c:pt idx="25">
                  <c:v>2.8</c:v>
                </c:pt>
                <c:pt idx="26">
                  <c:v>2.6</c:v>
                </c:pt>
                <c:pt idx="27">
                  <c:v>2.6</c:v>
                </c:pt>
                <c:pt idx="28">
                  <c:v>1.5</c:v>
                </c:pt>
                <c:pt idx="29">
                  <c:v>1.6</c:v>
                </c:pt>
                <c:pt idx="30">
                  <c:v>1.6</c:v>
                </c:pt>
                <c:pt idx="31" formatCode="General">
                  <c:v>1.8</c:v>
                </c:pt>
              </c:numCache>
            </c:numRef>
          </c:val>
          <c:smooth val="1"/>
          <c:extLst>
            <c:ext xmlns:c16="http://schemas.microsoft.com/office/drawing/2014/chart" uri="{C3380CC4-5D6E-409C-BE32-E72D297353CC}">
              <c16:uniqueId val="{00000004-24D1-4278-BC67-90D2089DD7F4}"/>
            </c:ext>
          </c:extLst>
        </c:ser>
        <c:dLbls>
          <c:showLegendKey val="0"/>
          <c:showVal val="0"/>
          <c:showCatName val="0"/>
          <c:showSerName val="0"/>
          <c:showPercent val="0"/>
          <c:showBubbleSize val="0"/>
        </c:dLbls>
        <c:smooth val="0"/>
        <c:axId val="1724916976"/>
        <c:axId val="1"/>
      </c:lineChart>
      <c:catAx>
        <c:axId val="1724916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de-DE"/>
          </a:p>
        </c:txPr>
        <c:crossAx val="1"/>
        <c:crosses val="autoZero"/>
        <c:auto val="1"/>
        <c:lblAlgn val="ctr"/>
        <c:lblOffset val="100"/>
        <c:tickLblSkip val="1"/>
        <c:tickMarkSkip val="1"/>
        <c:noMultiLvlLbl val="0"/>
      </c:catAx>
      <c:valAx>
        <c:axId val="1"/>
        <c:scaling>
          <c:orientation val="minMax"/>
          <c:max val="8"/>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de-DE"/>
          </a:p>
        </c:txPr>
        <c:crossAx val="1724916976"/>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de-DE"/>
          </a:p>
        </c:txPr>
      </c:legendEntry>
      <c:legendEntry>
        <c:idx val="1"/>
        <c:txPr>
          <a:bodyPr rot="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de-DE"/>
          </a:p>
        </c:txPr>
      </c:legendEntry>
      <c:layout>
        <c:manualLayout>
          <c:xMode val="edge"/>
          <c:yMode val="edge"/>
          <c:x val="7.1629603513491152E-2"/>
          <c:y val="3.7174393069895534E-2"/>
          <c:w val="0.61901254880453371"/>
          <c:h val="6.9980769930723205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de-D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9E83B32B842726419A1F2F9224BFE60B" ma:contentTypeVersion="7" ma:contentTypeDescription="Ein neues Dokument erstellen." ma:contentTypeScope="" ma:versionID="62b3c7a3fb467325299fc030b095ed31">
  <xsd:schema xmlns:xsd="http://www.w3.org/2001/XMLSchema" xmlns:xs="http://www.w3.org/2001/XMLSchema" xmlns:p="http://schemas.microsoft.com/office/2006/metadata/properties" xmlns:ns2="9671601f-eaab-4355-b9e6-28d055ffc79c" targetNamespace="http://schemas.microsoft.com/office/2006/metadata/properties" ma:root="true" ma:fieldsID="5fa16b473a03f07939639bca7e6eb357" ns2:_="">
    <xsd:import namespace="9671601f-eaab-4355-b9e6-28d055ffc7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71601f-eaab-4355-b9e6-28d055ffc7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026B8C-9D67-46AF-9495-1D6A9DCD5CE0}">
  <ds:schemaRefs>
    <ds:schemaRef ds:uri="http://schemas.microsoft.com/sharepoint/v3/contenttype/forms"/>
  </ds:schemaRefs>
</ds:datastoreItem>
</file>

<file path=customXml/itemProps2.xml><?xml version="1.0" encoding="utf-8"?>
<ds:datastoreItem xmlns:ds="http://schemas.openxmlformats.org/officeDocument/2006/customXml" ds:itemID="{E256B236-A17B-421A-AB74-A419C811E4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71601f-eaab-4355-b9e6-28d055ffc7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68A92B-ED31-49DB-AD16-17622EF3AF2E}">
  <ds:schemaRefs>
    <ds:schemaRef ds:uri="http://schemas.openxmlformats.org/officeDocument/2006/bibliography"/>
  </ds:schemaRefs>
</ds:datastoreItem>
</file>

<file path=customXml/itemProps4.xml><?xml version="1.0" encoding="utf-8"?>
<ds:datastoreItem xmlns:ds="http://schemas.openxmlformats.org/officeDocument/2006/customXml" ds:itemID="{2327EDA9-FECD-4F66-97F5-20C154A6DBFA}">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c299cb20-970b-4025-a4f3-4709c3c07ec0}" enabled="0" method="" siteId="{c299cb20-970b-4025-a4f3-4709c3c07ec0}"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25</Pages>
  <Words>7421</Words>
  <Characters>46755</Characters>
  <Application>Microsoft Office Word</Application>
  <DocSecurity>4</DocSecurity>
  <Lines>389</Lines>
  <Paragraphs>108</Paragraphs>
  <ScaleCrop>false</ScaleCrop>
  <HeadingPairs>
    <vt:vector size="2" baseType="variant">
      <vt:variant>
        <vt:lpstr>Titel</vt:lpstr>
      </vt:variant>
      <vt:variant>
        <vt:i4>1</vt:i4>
      </vt:variant>
    </vt:vector>
  </HeadingPairs>
  <TitlesOfParts>
    <vt:vector size="1" baseType="lpstr">
      <vt:lpstr/>
    </vt:vector>
  </TitlesOfParts>
  <Company>Technische Hochschule Köln</Company>
  <LinksUpToDate>false</LinksUpToDate>
  <CharactersWithSpaces>54068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Mengen</dc:creator>
  <cp:keywords/>
  <dc:description/>
  <cp:lastModifiedBy>Hennig, Nicole</cp:lastModifiedBy>
  <cp:revision>2</cp:revision>
  <cp:lastPrinted>2025-04-08T11:56:00Z</cp:lastPrinted>
  <dcterms:created xsi:type="dcterms:W3CDTF">2025-04-28T08:27:00Z</dcterms:created>
  <dcterms:modified xsi:type="dcterms:W3CDTF">2025-04-28T08:27:00Z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0x0101009E83B32B842726419A1F2F9224BFE60B</vt:lpwstr>
  </property>
  <property fmtid="{D5CDD505-2E9C-101B-9397-08002B2CF9AE}" pid="3" name="Order">
    <vt:r8>15900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